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976909598"/>
        <w:docPartObj>
          <w:docPartGallery w:val="Cover Pages"/>
          <w:docPartUnique/>
        </w:docPartObj>
      </w:sdtPr>
      <w:sdtEndPr/>
      <w:sdtContent>
        <w:p w14:paraId="3E3D482D" w14:textId="334FA60D" w:rsidR="00412E13" w:rsidRDefault="00412E13">
          <w:r>
            <w:rPr>
              <w:noProof/>
            </w:rPr>
            <mc:AlternateContent>
              <mc:Choice Requires="wpg">
                <w:drawing>
                  <wp:anchor distT="0" distB="0" distL="114300" distR="114300" simplePos="0" relativeHeight="251658240" behindDoc="1" locked="0" layoutInCell="1" allowOverlap="1" wp14:anchorId="5006ACB4" wp14:editId="399C2AD9">
                    <wp:simplePos x="0" y="0"/>
                    <wp:positionH relativeFrom="margin">
                      <wp:align>center</wp:align>
                    </wp:positionH>
                    <wp:positionV relativeFrom="margin">
                      <wp:align>center</wp:align>
                    </wp:positionV>
                    <wp:extent cx="6852920" cy="9142730"/>
                    <wp:effectExtent l="0" t="0" r="0" b="0"/>
                    <wp:wrapNone/>
                    <wp:docPr id="119" name="Group 121"/>
                    <wp:cNvGraphicFramePr/>
                    <a:graphic xmlns:a="http://schemas.openxmlformats.org/drawingml/2006/main">
                      <a:graphicData uri="http://schemas.microsoft.com/office/word/2010/wordprocessingGroup">
                        <wpg:wgp>
                          <wpg:cNvGrpSpPr/>
                          <wpg:grpSpPr>
                            <a:xfrm>
                              <a:off x="0" y="0"/>
                              <a:ext cx="6852920" cy="9142730"/>
                              <a:chOff x="0" y="0"/>
                              <a:chExt cx="6858000" cy="9271750"/>
                            </a:xfrm>
                          </wpg:grpSpPr>
                          <wps:wsp>
                            <wps:cNvPr id="120" name="Rectangle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1AFBC761" w14:textId="675F73A0" w:rsidR="00412E13" w:rsidRDefault="00412E13">
                                      <w:pPr>
                                        <w:pStyle w:val="NoSpacing"/>
                                        <w:rPr>
                                          <w:color w:val="FFFFFF" w:themeColor="background1"/>
                                          <w:sz w:val="32"/>
                                          <w:szCs w:val="32"/>
                                        </w:rPr>
                                      </w:pPr>
                                      <w:r>
                                        <w:rPr>
                                          <w:color w:val="FFFFFF" w:themeColor="background1"/>
                                          <w:sz w:val="32"/>
                                          <w:szCs w:val="32"/>
                                        </w:rPr>
                                        <w:t>National Irrigators’ Council</w:t>
                                      </w:r>
                                    </w:p>
                                  </w:sdtContent>
                                </w:sdt>
                                <w:p w14:paraId="481CA0BD" w14:textId="481F2443" w:rsidR="00412E13" w:rsidRDefault="007B653D">
                                  <w:pPr>
                                    <w:pStyle w:val="NoSpacing"/>
                                    <w:rPr>
                                      <w:caps/>
                                      <w:color w:val="FFFFFF" w:themeColor="background1"/>
                                    </w:rPr>
                                  </w:pPr>
                                  <w:sdt>
                                    <w:sdtPr>
                                      <w:rPr>
                                        <w:caps/>
                                        <w:color w:val="FFFFFF" w:themeColor="background1"/>
                                      </w:rPr>
                                      <w:alias w:val="Company"/>
                                      <w:tag w:val=""/>
                                      <w:id w:val="922067218"/>
                                      <w:dataBinding w:prefixMappings="xmlns:ns0='http://schemas.openxmlformats.org/officeDocument/2006/extended-properties' " w:xpath="/ns0:Properties[1]/ns0:Company[1]" w:storeItemID="{6668398D-A668-4E3E-A5EB-62B293D839F1}"/>
                                      <w:text/>
                                    </w:sdtPr>
                                    <w:sdtEndPr/>
                                    <w:sdtContent>
                                      <w:r w:rsidR="0067284E">
                                        <w:rPr>
                                          <w:caps/>
                                          <w:color w:val="FFFFFF" w:themeColor="background1"/>
                                        </w:rPr>
                                        <w:t>October</w:t>
                                      </w:r>
                                    </w:sdtContent>
                                  </w:sdt>
                                  <w:r w:rsidR="00412E13">
                                    <w:rPr>
                                      <w:caps/>
                                      <w:color w:val="FFFFFF" w:themeColor="background1"/>
                                    </w:rPr>
                                    <w:t xml:space="preserve"> | </w:t>
                                  </w:r>
                                  <w:sdt>
                                    <w:sdtPr>
                                      <w:rPr>
                                        <w:caps/>
                                        <w:color w:val="FFFFFF" w:themeColor="background1"/>
                                      </w:rPr>
                                      <w:alias w:val="Address"/>
                                      <w:tag w:val=""/>
                                      <w:id w:val="2113163453"/>
                                      <w:dataBinding w:prefixMappings="xmlns:ns0='http://schemas.microsoft.com/office/2006/coverPageProps' " w:xpath="/ns0:CoverPageProperties[1]/ns0:CompanyAddress[1]" w:storeItemID="{55AF091B-3C7A-41E3-B477-F2FDAA23CFDA}"/>
                                      <w:text/>
                                    </w:sdtPr>
                                    <w:sdtEndPr/>
                                    <w:sdtContent>
                                      <w:r w:rsidR="00412E13">
                                        <w:rPr>
                                          <w:caps/>
                                          <w:color w:val="FFFFFF" w:themeColor="background1"/>
                                        </w:rPr>
                                        <w:t>2026</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38D45E0A" w14:textId="2E5AA40A" w:rsidR="00412E13" w:rsidRDefault="00C74BED">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Pr>
                                          <w:rFonts w:asciiTheme="majorHAnsi" w:eastAsiaTheme="majorEastAsia" w:hAnsiTheme="majorHAnsi" w:cstheme="majorBidi"/>
                                          <w:color w:val="595959" w:themeColor="text1" w:themeTint="A6"/>
                                          <w:sz w:val="108"/>
                                          <w:szCs w:val="108"/>
                                        </w:rPr>
                                        <w:t>Submission</w:t>
                                      </w:r>
                                    </w:p>
                                  </w:sdtContent>
                                </w:sdt>
                                <w:sdt>
                                  <w:sdtPr>
                                    <w:rPr>
                                      <w:caps/>
                                      <w:color w:val="002B82"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46287DE6" w14:textId="3BFEEEFD" w:rsidR="00412E13" w:rsidRDefault="0035023F">
                                      <w:pPr>
                                        <w:pStyle w:val="NoSpacing"/>
                                        <w:spacing w:before="240"/>
                                        <w:rPr>
                                          <w:caps/>
                                          <w:color w:val="002B82" w:themeColor="text2"/>
                                          <w:sz w:val="36"/>
                                          <w:szCs w:val="36"/>
                                        </w:rPr>
                                      </w:pPr>
                                      <w:r>
                                        <w:rPr>
                                          <w:caps/>
                                          <w:color w:val="002B82" w:themeColor="text2"/>
                                          <w:sz w:val="36"/>
                                          <w:szCs w:val="36"/>
                                        </w:rPr>
                                        <w:t>SDL Adjustment Mechanism Draft Determination</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5006ACB4" id="Group 121" o:spid="_x0000_s1026" style="position:absolute;margin-left:0;margin-top:0;width:539.6pt;height:719.9pt;z-index:-251658240;mso-width-percent:882;mso-height-percent:909;mso-position-horizontal:center;mso-position-horizontal-relative:margin;mso-position-vertical:center;mso-position-vertical-relative:margin;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" fillcolor="#0070c0 [3204]" stroked="f" strokeweight="1.5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" fillcolor="#002060 [3205]" stroked="f" strokeweight="1.5pt">
                      <v:textbox inset="36pt,14.4pt,36pt,36pt">
                        <w:txbxContent>
                          <w:sdt>
                            <w:sdtPr>
                              <w:rPr>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1AFBC761" w14:textId="675F73A0" w:rsidR="00412E13" w:rsidRDefault="00412E13">
                                <w:pPr>
                                  <w:pStyle w:val="NoSpacing"/>
                                  <w:rPr>
                                    <w:color w:val="FFFFFF" w:themeColor="background1"/>
                                    <w:sz w:val="32"/>
                                    <w:szCs w:val="32"/>
                                  </w:rPr>
                                </w:pPr>
                                <w:r>
                                  <w:rPr>
                                    <w:color w:val="FFFFFF" w:themeColor="background1"/>
                                    <w:sz w:val="32"/>
                                    <w:szCs w:val="32"/>
                                  </w:rPr>
                                  <w:t>National Irrigators’ Council</w:t>
                                </w:r>
                              </w:p>
                            </w:sdtContent>
                          </w:sdt>
                          <w:p w14:paraId="481CA0BD" w14:textId="481F2443" w:rsidR="00412E13" w:rsidRDefault="007B653D">
                            <w:pPr>
                              <w:pStyle w:val="NoSpacing"/>
                              <w:rPr>
                                <w:caps/>
                                <w:color w:val="FFFFFF" w:themeColor="background1"/>
                              </w:rPr>
                            </w:pPr>
                            <w:sdt>
                              <w:sdtPr>
                                <w:rPr>
                                  <w:caps/>
                                  <w:color w:val="FFFFFF" w:themeColor="background1"/>
                                </w:rPr>
                                <w:alias w:val="Company"/>
                                <w:tag w:val=""/>
                                <w:id w:val="922067218"/>
                                <w:dataBinding w:prefixMappings="xmlns:ns0='http://schemas.openxmlformats.org/officeDocument/2006/extended-properties' " w:xpath="/ns0:Properties[1]/ns0:Company[1]" w:storeItemID="{6668398D-A668-4E3E-A5EB-62B293D839F1}"/>
                                <w:text/>
                              </w:sdtPr>
                              <w:sdtEndPr/>
                              <w:sdtContent>
                                <w:r w:rsidR="0067284E">
                                  <w:rPr>
                                    <w:caps/>
                                    <w:color w:val="FFFFFF" w:themeColor="background1"/>
                                  </w:rPr>
                                  <w:t>October</w:t>
                                </w:r>
                              </w:sdtContent>
                            </w:sdt>
                            <w:r w:rsidR="00412E13">
                              <w:rPr>
                                <w:caps/>
                                <w:color w:val="FFFFFF" w:themeColor="background1"/>
                              </w:rPr>
                              <w:t xml:space="preserve"> | </w:t>
                            </w:r>
                            <w:sdt>
                              <w:sdtPr>
                                <w:rPr>
                                  <w:caps/>
                                  <w:color w:val="FFFFFF" w:themeColor="background1"/>
                                </w:rPr>
                                <w:alias w:val="Address"/>
                                <w:tag w:val=""/>
                                <w:id w:val="2113163453"/>
                                <w:dataBinding w:prefixMappings="xmlns:ns0='http://schemas.microsoft.com/office/2006/coverPageProps' " w:xpath="/ns0:CoverPageProperties[1]/ns0:CompanyAddress[1]" w:storeItemID="{55AF091B-3C7A-41E3-B477-F2FDAA23CFDA}"/>
                                <w:text/>
                              </w:sdtPr>
                              <w:sdtEndPr/>
                              <w:sdtContent>
                                <w:r w:rsidR="00412E13">
                                  <w:rPr>
                                    <w:caps/>
                                    <w:color w:val="FFFFFF" w:themeColor="background1"/>
                                  </w:rPr>
                                  <w:t>2026</w:t>
                                </w:r>
                              </w:sdtContent>
                            </w:sdt>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Theme="majorHAnsi" w:eastAsiaTheme="majorEastAsia" w:hAnsiTheme="majorHAnsi" w:cstheme="majorBidi"/>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38D45E0A" w14:textId="2E5AA40A" w:rsidR="00412E13" w:rsidRDefault="00C74BED">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Pr>
                                    <w:rFonts w:asciiTheme="majorHAnsi" w:eastAsiaTheme="majorEastAsia" w:hAnsiTheme="majorHAnsi" w:cstheme="majorBidi"/>
                                    <w:color w:val="595959" w:themeColor="text1" w:themeTint="A6"/>
                                    <w:sz w:val="108"/>
                                    <w:szCs w:val="108"/>
                                  </w:rPr>
                                  <w:t>Submission</w:t>
                                </w:r>
                              </w:p>
                            </w:sdtContent>
                          </w:sdt>
                          <w:sdt>
                            <w:sdtPr>
                              <w:rPr>
                                <w:caps/>
                                <w:color w:val="002B82"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46287DE6" w14:textId="3BFEEEFD" w:rsidR="00412E13" w:rsidRDefault="0035023F">
                                <w:pPr>
                                  <w:pStyle w:val="NoSpacing"/>
                                  <w:spacing w:before="240"/>
                                  <w:rPr>
                                    <w:caps/>
                                    <w:color w:val="002B82" w:themeColor="text2"/>
                                    <w:sz w:val="36"/>
                                    <w:szCs w:val="36"/>
                                  </w:rPr>
                                </w:pPr>
                                <w:r>
                                  <w:rPr>
                                    <w:caps/>
                                    <w:color w:val="002B82" w:themeColor="text2"/>
                                    <w:sz w:val="36"/>
                                    <w:szCs w:val="36"/>
                                  </w:rPr>
                                  <w:t>SDL Adjustment Mechanism Draft Determination</w:t>
                                </w:r>
                              </w:p>
                            </w:sdtContent>
                          </w:sdt>
                        </w:txbxContent>
                      </v:textbox>
                    </v:shape>
                    <w10:wrap anchorx="margin" anchory="margin"/>
                  </v:group>
                </w:pict>
              </mc:Fallback>
            </mc:AlternateContent>
          </w:r>
        </w:p>
        <w:p w14:paraId="6F13CC64" w14:textId="77777777" w:rsidR="00B9699E" w:rsidRDefault="007A13AC" w:rsidP="00B9699E">
          <w:r w:rsidRPr="007A13AC">
            <w:rPr>
              <w:rFonts w:asciiTheme="majorHAnsi" w:eastAsiaTheme="majorEastAsia" w:hAnsiTheme="majorHAnsi" w:cstheme="majorBidi"/>
              <w:noProof/>
              <w:color w:val="00538F" w:themeColor="accent1" w:themeShade="BF"/>
              <w:sz w:val="22"/>
              <w:szCs w:val="22"/>
            </w:rPr>
            <w:drawing>
              <wp:anchor distT="0" distB="0" distL="114300" distR="114300" simplePos="0" relativeHeight="251658241" behindDoc="0" locked="0" layoutInCell="1" allowOverlap="1" wp14:anchorId="2B34FDEF" wp14:editId="1818FD09">
                <wp:simplePos x="0" y="0"/>
                <wp:positionH relativeFrom="column">
                  <wp:posOffset>3088211</wp:posOffset>
                </wp:positionH>
                <wp:positionV relativeFrom="paragraph">
                  <wp:posOffset>7381860</wp:posOffset>
                </wp:positionV>
                <wp:extent cx="2834005" cy="1154430"/>
                <wp:effectExtent l="0" t="0" r="4445" b="7620"/>
                <wp:wrapSquare wrapText="bothSides"/>
                <wp:docPr id="13782893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4005" cy="1154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2E13">
            <w:br w:type="page"/>
          </w:r>
        </w:p>
      </w:sdtContent>
    </w:sdt>
    <w:p w14:paraId="6416C4C4" w14:textId="06025B26" w:rsidR="00921178" w:rsidRDefault="00B9699E" w:rsidP="00B9699E">
      <w:pPr>
        <w:pStyle w:val="Heading1"/>
      </w:pPr>
      <w:bookmarkStart w:id="0" w:name="_Toc243660143"/>
      <w:r>
        <w:t>A</w:t>
      </w:r>
      <w:r w:rsidR="00921178">
        <w:t>bout us</w:t>
      </w:r>
      <w:bookmarkEnd w:id="0"/>
    </w:p>
    <w:p w14:paraId="6816C543" w14:textId="5507B5D8" w:rsidR="00AC1E22" w:rsidRDefault="00921178" w:rsidP="00986285">
      <w:pPr>
        <w:jc w:val="both"/>
      </w:pPr>
      <w:r w:rsidRPr="00921178">
        <w:t xml:space="preserve">The </w:t>
      </w:r>
      <w:r w:rsidR="00EB7894">
        <w:t xml:space="preserve">National Irrigators’ Council (NIC) </w:t>
      </w:r>
      <w:r w:rsidRPr="00921178">
        <w:t xml:space="preserve">is the peak body representing irrigators in Australia, supporting </w:t>
      </w:r>
      <w:r>
        <w:t>31</w:t>
      </w:r>
      <w:r w:rsidRPr="00921178">
        <w:t xml:space="preserve"> member organisations across the Murray Darling Basin</w:t>
      </w:r>
      <w:r>
        <w:t>,</w:t>
      </w:r>
      <w:r w:rsidRPr="00921178">
        <w:t xml:space="preserve"> and irrigation regions around </w:t>
      </w:r>
      <w:r>
        <w:t>Australia.</w:t>
      </w:r>
      <w:r w:rsidRPr="00921178">
        <w:t xml:space="preserve"> We represent major agricultural commodity groups with members collectively holding over 5,000,000 megalitres of water entitlement.</w:t>
      </w:r>
      <w:r w:rsidR="00AC7A22">
        <w:t xml:space="preserve"> </w:t>
      </w:r>
      <w:r w:rsidR="00AC7A22" w:rsidRPr="00AC7A22">
        <w:t>NIC is the voice of irrigated agriculture and the industries producing food and fibre for domestic consumption and significant export income. </w:t>
      </w:r>
    </w:p>
    <w:p w14:paraId="133B6226" w14:textId="4DE23895" w:rsidR="00AC1E22" w:rsidRPr="00830BCA" w:rsidRDefault="00AC1E22" w:rsidP="00AC1E22">
      <w:pPr>
        <w:pStyle w:val="Heading1"/>
      </w:pPr>
      <w:bookmarkStart w:id="1" w:name="_Toc243660144"/>
      <w:r>
        <w:t>Background</w:t>
      </w:r>
      <w:bookmarkEnd w:id="1"/>
    </w:p>
    <w:p w14:paraId="3A84E821" w14:textId="146182A9" w:rsidR="00AC1E22" w:rsidRDefault="00720C18" w:rsidP="00A62E94">
      <w:pPr>
        <w:jc w:val="both"/>
      </w:pPr>
      <w:r w:rsidRPr="00720C18">
        <w:t>Th</w:t>
      </w:r>
      <w:r>
        <w:t xml:space="preserve">is </w:t>
      </w:r>
      <w:r w:rsidR="00F95CC0">
        <w:t>submission</w:t>
      </w:r>
      <w:r>
        <w:t xml:space="preserve"> is in response to the publication of the Murray Darling Basin Authority (MDBA) </w:t>
      </w:r>
      <w:r w:rsidR="00CA443C">
        <w:t xml:space="preserve">Draft Determination of </w:t>
      </w:r>
      <w:r w:rsidR="00CA443C" w:rsidRPr="00720C18">
        <w:t xml:space="preserve">proposed adjustments to </w:t>
      </w:r>
      <w:r w:rsidR="00CA443C">
        <w:t>S</w:t>
      </w:r>
      <w:r w:rsidR="00CA443C" w:rsidRPr="00720C18">
        <w:t xml:space="preserve">ustainable </w:t>
      </w:r>
      <w:r w:rsidR="00CA443C">
        <w:t>D</w:t>
      </w:r>
      <w:r w:rsidR="00CA443C" w:rsidRPr="00720C18">
        <w:t xml:space="preserve">iversion </w:t>
      </w:r>
      <w:r w:rsidR="00CA443C">
        <w:t>L</w:t>
      </w:r>
      <w:r w:rsidR="00CA443C" w:rsidRPr="00720C18">
        <w:t xml:space="preserve">imits (SDLs) resulting from the SDL </w:t>
      </w:r>
      <w:r w:rsidR="00CA443C">
        <w:t>A</w:t>
      </w:r>
      <w:r w:rsidR="00CA443C" w:rsidRPr="00720C18">
        <w:t xml:space="preserve">djustment </w:t>
      </w:r>
      <w:r w:rsidR="00CA443C">
        <w:t>M</w:t>
      </w:r>
      <w:r w:rsidR="00CA443C" w:rsidRPr="00720C18">
        <w:t>echanism (SDLAM).</w:t>
      </w:r>
      <w:r w:rsidR="00567E39">
        <w:rPr>
          <w:rStyle w:val="FootnoteReference"/>
        </w:rPr>
        <w:footnoteReference w:id="1"/>
      </w:r>
    </w:p>
    <w:p w14:paraId="16A917E3" w14:textId="237DE42C" w:rsidR="009F74C0" w:rsidRDefault="009F74C0" w:rsidP="00A62E94">
      <w:pPr>
        <w:jc w:val="both"/>
      </w:pPr>
      <w:r>
        <w:t xml:space="preserve">NIC notes that this public consultation is highly technical in nature. As a result, this submission will provide additional </w:t>
      </w:r>
      <w:r w:rsidR="000F13F5">
        <w:t>explanations to unpack many of the key concepts and findings</w:t>
      </w:r>
      <w:r w:rsidR="00257EFB">
        <w:t xml:space="preserve"> (</w:t>
      </w:r>
      <w:r w:rsidR="00257EFB" w:rsidRPr="00257EFB">
        <w:rPr>
          <w:b/>
          <w:bCs/>
        </w:rPr>
        <w:t>Part 1</w:t>
      </w:r>
      <w:r w:rsidR="00257EFB">
        <w:t>)</w:t>
      </w:r>
      <w:r w:rsidR="000F13F5">
        <w:t xml:space="preserve">, before outlining the </w:t>
      </w:r>
      <w:r w:rsidR="00393BC0">
        <w:t xml:space="preserve">detailed </w:t>
      </w:r>
      <w:r w:rsidR="000F13F5">
        <w:t>NIC positions and recommendations</w:t>
      </w:r>
      <w:r w:rsidR="00393BC0">
        <w:t xml:space="preserve"> (</w:t>
      </w:r>
      <w:r w:rsidR="00393BC0" w:rsidRPr="00393BC0">
        <w:rPr>
          <w:b/>
          <w:bCs/>
        </w:rPr>
        <w:t>Part 2</w:t>
      </w:r>
      <w:r w:rsidR="00393BC0">
        <w:t>)</w:t>
      </w:r>
      <w:r w:rsidR="000F13F5">
        <w:t xml:space="preserve">, to </w:t>
      </w:r>
      <w:r w:rsidR="00393BC0">
        <w:t xml:space="preserve">provide crucial context to understand the NIC positions, and </w:t>
      </w:r>
      <w:r w:rsidR="000F13F5">
        <w:t xml:space="preserve">ensure this document can be read and understood </w:t>
      </w:r>
      <w:r w:rsidR="00F56659">
        <w:t>by a broader audience</w:t>
      </w:r>
      <w:r w:rsidR="000F13F5">
        <w:t xml:space="preserve">. </w:t>
      </w:r>
    </w:p>
    <w:p w14:paraId="1C95ECB5" w14:textId="55201020" w:rsidR="00F95CC0" w:rsidRDefault="00F95CC0" w:rsidP="00A62E94">
      <w:pPr>
        <w:jc w:val="both"/>
      </w:pPr>
      <w:r>
        <w:t>NIC recognise a large focus of this public consultation is on the modelling aspects. This is beyond the capabilities and resourcing of most stakeholders to respond to, particularly given the details required to technically scrutinise these projects are not available, and would require more time and resourcing than th</w:t>
      </w:r>
      <w:r w:rsidR="6272C2B6">
        <w:t>e 4-week</w:t>
      </w:r>
      <w:r>
        <w:t xml:space="preserve"> consultation allows. As a result, this submission focuses on SDLAM more broadly, </w:t>
      </w:r>
      <w:r w:rsidR="0222C2EC">
        <w:t>its intent and deliverables and likely outcome,</w:t>
      </w:r>
      <w:r>
        <w:t xml:space="preserve"> and provides recommendations on how the MDBA deals with the results of Reconciliation, in terms of the recommendations that go to the Minister to </w:t>
      </w:r>
      <w:proofErr w:type="gramStart"/>
      <w:r>
        <w:t>make a decision</w:t>
      </w:r>
      <w:proofErr w:type="gramEnd"/>
      <w:r>
        <w:t>.</w:t>
      </w:r>
    </w:p>
    <w:p w14:paraId="17E09EF0" w14:textId="383F4F8A" w:rsidR="00D9716C" w:rsidRDefault="00544C66" w:rsidP="00251E76">
      <w:pPr>
        <w:pStyle w:val="Heading1"/>
      </w:pPr>
      <w:bookmarkStart w:id="2" w:name="_Toc243660145"/>
      <w:r>
        <w:t>Executive Summary</w:t>
      </w:r>
      <w:bookmarkEnd w:id="2"/>
    </w:p>
    <w:p w14:paraId="44D77DA4" w14:textId="7CCEC2B3" w:rsidR="00544C66" w:rsidRPr="00B9699E" w:rsidRDefault="001473E9" w:rsidP="00B9699E">
      <w:pPr>
        <w:pStyle w:val="Heading2"/>
        <w:jc w:val="both"/>
      </w:pPr>
      <w:bookmarkStart w:id="3" w:name="_Toc243660146"/>
      <w:r>
        <w:t>Key findings</w:t>
      </w:r>
      <w:bookmarkEnd w:id="3"/>
    </w:p>
    <w:p w14:paraId="760139F5" w14:textId="59528E03" w:rsidR="001473E9" w:rsidRDefault="001473E9" w:rsidP="00B9699E">
      <w:pPr>
        <w:jc w:val="both"/>
      </w:pPr>
      <w:r w:rsidRPr="001473E9">
        <w:rPr>
          <w:b/>
          <w:bCs/>
          <w:color w:val="00538F" w:themeColor="accent1" w:themeShade="BF"/>
        </w:rPr>
        <w:t>Finding 1:</w:t>
      </w:r>
      <w:r w:rsidRPr="001473E9">
        <w:rPr>
          <w:color w:val="00538F" w:themeColor="accent1" w:themeShade="BF"/>
        </w:rPr>
        <w:t xml:space="preserve"> </w:t>
      </w:r>
      <w:r w:rsidRPr="00FF7F91">
        <w:t>The Draft Determination is 424.2 GL less than the best-case scenario of the full effect of SDLAM</w:t>
      </w:r>
      <w:r w:rsidR="00F1736A">
        <w:t>.</w:t>
      </w:r>
    </w:p>
    <w:p w14:paraId="2819726D" w14:textId="2DE966DB" w:rsidR="001473E9" w:rsidRDefault="001473E9" w:rsidP="00B9699E">
      <w:pPr>
        <w:jc w:val="both"/>
      </w:pPr>
      <w:r w:rsidRPr="001473E9">
        <w:rPr>
          <w:b/>
          <w:bCs/>
          <w:color w:val="00538F" w:themeColor="accent1" w:themeShade="BF"/>
        </w:rPr>
        <w:t>Finding 2:</w:t>
      </w:r>
      <w:r w:rsidRPr="00FF7F91">
        <w:t xml:space="preserve"> The Final Determination is likely to be substantially different to the Draft Determination, as contributions </w:t>
      </w:r>
      <w:r w:rsidR="00F1736A">
        <w:t>of</w:t>
      </w:r>
      <w:r w:rsidRPr="00FF7F91">
        <w:t xml:space="preserve"> additional HEW are </w:t>
      </w:r>
      <w:r w:rsidR="3D006D7C">
        <w:t xml:space="preserve">rapidly </w:t>
      </w:r>
      <w:r w:rsidR="00E74313">
        <w:t xml:space="preserve">increasing </w:t>
      </w:r>
      <w:r w:rsidR="00E74313" w:rsidRPr="00FF7F91">
        <w:t>as</w:t>
      </w:r>
      <w:r w:rsidRPr="00FF7F91">
        <w:t xml:space="preserve"> water recovery ‘contracted but not yet registered’ becomes registered, as well as ongoing recovery.  This is estimated to be at least 159.5 GL variation from the Draft to the Final</w:t>
      </w:r>
      <w:r w:rsidR="00F1736A">
        <w:t xml:space="preserve"> Determination</w:t>
      </w:r>
      <w:r w:rsidRPr="00FF7F91">
        <w:t>, not considering further purchases from 30 June 2026.</w:t>
      </w:r>
    </w:p>
    <w:p w14:paraId="73479457" w14:textId="53AA4E4F" w:rsidR="001473E9" w:rsidRDefault="001473E9" w:rsidP="00B9699E">
      <w:pPr>
        <w:jc w:val="both"/>
      </w:pPr>
      <w:r w:rsidRPr="001473E9">
        <w:rPr>
          <w:b/>
          <w:bCs/>
          <w:color w:val="00538F" w:themeColor="accent1" w:themeShade="BF"/>
        </w:rPr>
        <w:t>Finding 3:</w:t>
      </w:r>
      <w:r w:rsidRPr="00FF7F91">
        <w:t xml:space="preserve"> The Final Determination is at risk of producing a negative SDL adjustment due to ongoing </w:t>
      </w:r>
      <w:r>
        <w:t>recover</w:t>
      </w:r>
      <w:r w:rsidR="6E8B5752">
        <w:t>y</w:t>
      </w:r>
      <w:r w:rsidRPr="00FF7F91">
        <w:t xml:space="preserve"> towards the 450 GL exceeding the supply contribution. This is counter to the original policy objective of SDLAM to </w:t>
      </w:r>
      <w:r w:rsidR="287A3EA5">
        <w:t>offset water recovery options</w:t>
      </w:r>
      <w:r>
        <w:t xml:space="preserve"> </w:t>
      </w:r>
      <w:r w:rsidR="287A3EA5">
        <w:t>and</w:t>
      </w:r>
      <w:r>
        <w:t xml:space="preserve"> </w:t>
      </w:r>
      <w:r w:rsidRPr="00FF7F91">
        <w:t>mitigate social and economic impacts.</w:t>
      </w:r>
    </w:p>
    <w:p w14:paraId="1C12B828" w14:textId="30B54594" w:rsidR="001473E9" w:rsidRDefault="001473E9" w:rsidP="00B9699E">
      <w:pPr>
        <w:jc w:val="both"/>
      </w:pPr>
      <w:r w:rsidRPr="001473E9">
        <w:rPr>
          <w:b/>
          <w:bCs/>
          <w:color w:val="00538F" w:themeColor="accent1" w:themeShade="BF"/>
        </w:rPr>
        <w:t>Finding 4:</w:t>
      </w:r>
      <w:r>
        <w:t xml:space="preserve"> If taking a </w:t>
      </w:r>
      <w:r w:rsidR="2CB155E6" w:rsidRPr="00055A46">
        <w:t>simplified numerical</w:t>
      </w:r>
      <w:r w:rsidR="2CB155E6">
        <w:t xml:space="preserve"> </w:t>
      </w:r>
      <w:r>
        <w:t xml:space="preserve">approach, viewing the remainder of the implementation of the Basin Plan as simply water recovery targets - </w:t>
      </w:r>
      <w:r w:rsidR="5D5C54C8" w:rsidRPr="00B83248">
        <w:t>Basin community's</w:t>
      </w:r>
      <w:r>
        <w:t xml:space="preserve"> risk losing a further ~500 GL</w:t>
      </w:r>
      <w:r w:rsidR="3BA4FC0D">
        <w:t>.</w:t>
      </w:r>
      <w:r>
        <w:t xml:space="preserve"> </w:t>
      </w:r>
      <w:r w:rsidR="3BA45A73">
        <w:t xml:space="preserve">That </w:t>
      </w:r>
      <w:r w:rsidR="3BA4FC0D">
        <w:t>is</w:t>
      </w:r>
      <w:r w:rsidR="6E86CAA4">
        <w:t xml:space="preserve"> a further</w:t>
      </w:r>
      <w:r w:rsidR="3BA4FC0D">
        <w:t>:</w:t>
      </w:r>
      <w:r>
        <w:t xml:space="preserve"> 270.2 GL from Bridging the Gap (under-recovery and supply shortfall)</w:t>
      </w:r>
      <w:r w:rsidR="54E39508">
        <w:t>;</w:t>
      </w:r>
      <w:r>
        <w:t xml:space="preserve"> and 228.7 of additional HEW (if the full 450 GL is pursued). </w:t>
      </w:r>
    </w:p>
    <w:p w14:paraId="152F9566" w14:textId="6A73A80E" w:rsidR="001473E9" w:rsidRDefault="001473E9" w:rsidP="00B9699E">
      <w:pPr>
        <w:jc w:val="both"/>
      </w:pPr>
      <w:r w:rsidRPr="001473E9">
        <w:rPr>
          <w:b/>
          <w:bCs/>
          <w:color w:val="00538F" w:themeColor="accent1" w:themeShade="BF"/>
        </w:rPr>
        <w:t>Finding 5:</w:t>
      </w:r>
      <w:r>
        <w:t xml:space="preserve"> If taking a proper outcomes-based approach, where </w:t>
      </w:r>
      <w:r w:rsidR="064C6C0C">
        <w:t xml:space="preserve">focusing </w:t>
      </w:r>
      <w:r>
        <w:t xml:space="preserve">“full implementation” of the Basin Plan </w:t>
      </w:r>
      <w:r w:rsidR="682724C3" w:rsidRPr="00055A46">
        <w:rPr>
          <w:color w:val="00538F" w:themeColor="accent1" w:themeShade="BF"/>
        </w:rPr>
        <w:t xml:space="preserve">back to the core objective of </w:t>
      </w:r>
      <w:r>
        <w:t xml:space="preserve">reducing water usage to comply with the SDLs, then full implementation has been achieved when the SDL-adjustment is neutral (i.e. 340 GL of additional HEW, assuming a 340 GL supply contribution), provided local and shared water recovery is complete. Note: this has now largely occurred. </w:t>
      </w:r>
    </w:p>
    <w:p w14:paraId="5D832CBD" w14:textId="77777777" w:rsidR="001473E9" w:rsidRDefault="001473E9" w:rsidP="00B9699E">
      <w:pPr>
        <w:jc w:val="both"/>
      </w:pPr>
      <w:r w:rsidRPr="001473E9">
        <w:rPr>
          <w:b/>
          <w:bCs/>
          <w:color w:val="00538F" w:themeColor="accent1" w:themeShade="BF"/>
        </w:rPr>
        <w:t>Finding 6:</w:t>
      </w:r>
      <w:r>
        <w:t xml:space="preserve"> If the supply contribution is only 340 GL, any further recovery of additional HEW beyond 340 GL, is going beyond implementing the Basin Plan “in full” from an SDL perspective.  </w:t>
      </w:r>
    </w:p>
    <w:p w14:paraId="0C5841D4" w14:textId="3D500EB0" w:rsidR="001473E9" w:rsidRDefault="001473E9" w:rsidP="00B9699E">
      <w:pPr>
        <w:jc w:val="both"/>
      </w:pPr>
      <w:r w:rsidRPr="001473E9">
        <w:rPr>
          <w:b/>
          <w:bCs/>
          <w:color w:val="00538F" w:themeColor="accent1" w:themeShade="BF"/>
        </w:rPr>
        <w:t>Finding 7:</w:t>
      </w:r>
      <w:r w:rsidRPr="00FF7F91">
        <w:t xml:space="preserve"> Delivering the Basin Plan “in full” has multiple interpretations. The point in which additional HEW recovery exceeds the supply contribution, the SDL adjustment </w:t>
      </w:r>
      <w:r w:rsidR="598FD092">
        <w:t xml:space="preserve">must </w:t>
      </w:r>
      <w:r w:rsidRPr="00FF7F91">
        <w:t xml:space="preserve">become neutral. From an SDL perspective, this is “in full” implementation (provided local and shared recovery are complete). It is noted that projects (such as community supported constraints management) remain </w:t>
      </w:r>
      <w:proofErr w:type="gramStart"/>
      <w:r w:rsidRPr="00FF7F91">
        <w:t>important in their own right, separate</w:t>
      </w:r>
      <w:proofErr w:type="gramEnd"/>
      <w:r w:rsidRPr="00FF7F91">
        <w:t xml:space="preserve"> from achieving SDL compliance.</w:t>
      </w:r>
    </w:p>
    <w:p w14:paraId="30E21C76" w14:textId="0D5EDC28" w:rsidR="001473E9" w:rsidRDefault="001473E9" w:rsidP="00B9699E">
      <w:pPr>
        <w:jc w:val="both"/>
      </w:pPr>
      <w:r w:rsidRPr="001473E9">
        <w:rPr>
          <w:b/>
          <w:bCs/>
          <w:color w:val="00538F" w:themeColor="accent1" w:themeShade="BF"/>
        </w:rPr>
        <w:t>Finding 8:</w:t>
      </w:r>
      <w:r w:rsidRPr="00FF7F91">
        <w:t xml:space="preserve"> The </w:t>
      </w:r>
      <w:r w:rsidR="47AF6FDD">
        <w:t xml:space="preserve">likely </w:t>
      </w:r>
      <w:r>
        <w:t>final</w:t>
      </w:r>
      <w:r w:rsidRPr="00FF7F91">
        <w:t xml:space="preserve"> SDL adjustment</w:t>
      </w:r>
      <w:r w:rsidR="357A76F4">
        <w:t xml:space="preserve"> (Finding 2)</w:t>
      </w:r>
      <w:r w:rsidRPr="00FF7F91">
        <w:t xml:space="preserve"> is inconsistent with the objective specified in the legislation for SDLAM to maintain and improve social and economic outcomes (if a negative SDL adjustment).</w:t>
      </w:r>
    </w:p>
    <w:p w14:paraId="6D6AA86A" w14:textId="38FD6BB8" w:rsidR="001473E9" w:rsidRDefault="001473E9" w:rsidP="00B9699E">
      <w:pPr>
        <w:jc w:val="both"/>
      </w:pPr>
      <w:r w:rsidRPr="001473E9">
        <w:rPr>
          <w:b/>
          <w:bCs/>
          <w:color w:val="00538F" w:themeColor="accent1" w:themeShade="BF"/>
        </w:rPr>
        <w:t>Finding 9:</w:t>
      </w:r>
      <w:r w:rsidRPr="00FF7F91">
        <w:t xml:space="preserve"> Even under </w:t>
      </w:r>
      <w:r w:rsidR="2083C688">
        <w:t xml:space="preserve">the MDBA’s </w:t>
      </w:r>
      <w:r>
        <w:t>scenario</w:t>
      </w:r>
      <w:r w:rsidRPr="00FF7F91">
        <w:t xml:space="preserve"> of a</w:t>
      </w:r>
      <w:r w:rsidR="00D20FEF">
        <w:t>n even</w:t>
      </w:r>
      <w:r w:rsidRPr="00FF7F91">
        <w:t xml:space="preserve"> greater shortfall</w:t>
      </w:r>
      <w:r w:rsidR="00453168">
        <w:t xml:space="preserve"> (300 GL)</w:t>
      </w:r>
      <w:r w:rsidRPr="00FF7F91">
        <w:t>, and full recovery of the 450 GL, 92% of environmental indicators across all water resource units did not register an improved score</w:t>
      </w:r>
      <w:r w:rsidR="00453168">
        <w:t xml:space="preserve">, in the </w:t>
      </w:r>
      <w:r w:rsidR="6D122587">
        <w:t>MDBA’s</w:t>
      </w:r>
      <w:r w:rsidR="00453168">
        <w:t xml:space="preserve"> initial SDL </w:t>
      </w:r>
      <w:r w:rsidR="00E74313">
        <w:t>assessments as</w:t>
      </w:r>
      <w:r w:rsidR="00453168">
        <w:t xml:space="preserve"> part of the Basin Plan Review</w:t>
      </w:r>
      <w:r w:rsidRPr="00FF7F91">
        <w:t xml:space="preserve">.  </w:t>
      </w:r>
    </w:p>
    <w:p w14:paraId="2FCBEAA3" w14:textId="580F334D" w:rsidR="001473E9" w:rsidRDefault="001473E9" w:rsidP="00B9699E">
      <w:pPr>
        <w:jc w:val="both"/>
      </w:pPr>
      <w:r w:rsidRPr="001473E9">
        <w:rPr>
          <w:b/>
          <w:bCs/>
          <w:color w:val="00538F" w:themeColor="accent1" w:themeShade="BF"/>
        </w:rPr>
        <w:t>Finding 10:</w:t>
      </w:r>
      <w:r w:rsidRPr="00FF7F91">
        <w:t xml:space="preserve"> The supply shortfall is now detached from the evidence-</w:t>
      </w:r>
      <w:r w:rsidR="00E74313" w:rsidRPr="00FF7F91">
        <w:t>based</w:t>
      </w:r>
      <w:r w:rsidRPr="00FF7F91">
        <w:t xml:space="preserve"> on what measures are required to directly target the environmental outcome risks.</w:t>
      </w:r>
    </w:p>
    <w:p w14:paraId="3CF53A12" w14:textId="77777777" w:rsidR="001473E9" w:rsidRDefault="001473E9" w:rsidP="00B9699E">
      <w:pPr>
        <w:jc w:val="both"/>
      </w:pPr>
      <w:r w:rsidRPr="001473E9">
        <w:rPr>
          <w:b/>
          <w:bCs/>
          <w:color w:val="00538F" w:themeColor="accent1" w:themeShade="BF"/>
        </w:rPr>
        <w:t>Finding 11:</w:t>
      </w:r>
      <w:r w:rsidRPr="00FF7F91">
        <w:t xml:space="preserve"> The environmental priorities in the Basin have substantially shifted since SDLAM was designed. Further water recovery or SDL adjustment will not deliver the environmental outcomes required.</w:t>
      </w:r>
    </w:p>
    <w:p w14:paraId="26C189A0" w14:textId="67E32BE0" w:rsidR="001473E9" w:rsidRDefault="001473E9" w:rsidP="00B9699E">
      <w:pPr>
        <w:jc w:val="both"/>
      </w:pPr>
      <w:r w:rsidRPr="001473E9">
        <w:rPr>
          <w:b/>
          <w:bCs/>
          <w:color w:val="00538F" w:themeColor="accent1" w:themeShade="BF"/>
        </w:rPr>
        <w:t>Finding 12:</w:t>
      </w:r>
      <w:r w:rsidRPr="00FF7F91">
        <w:t xml:space="preserve"> Important projects under SDLAM remain important on their own merits, and pathways forward must be identified for such projects</w:t>
      </w:r>
      <w:r w:rsidR="00315EAC">
        <w:t xml:space="preserve"> (for example, community-supported constraints management projects)</w:t>
      </w:r>
      <w:r w:rsidRPr="00FF7F91">
        <w:t>.</w:t>
      </w:r>
    </w:p>
    <w:p w14:paraId="69C984BB" w14:textId="77777777" w:rsidR="001473E9" w:rsidRDefault="001473E9" w:rsidP="00B9699E">
      <w:pPr>
        <w:jc w:val="both"/>
      </w:pPr>
      <w:r w:rsidRPr="001473E9">
        <w:rPr>
          <w:b/>
          <w:bCs/>
          <w:color w:val="00538F" w:themeColor="accent1" w:themeShade="BF"/>
        </w:rPr>
        <w:t>Finding 13:</w:t>
      </w:r>
      <w:r w:rsidRPr="00FF7F91">
        <w:t xml:space="preserve"> Water entitlement reliability remains at-risk, as the granting of reasonable excuse provisions sits with the IGWC. This places major risks on all water users, as well as substantial financial and legal liabilities on the Commonwealth Government.</w:t>
      </w:r>
    </w:p>
    <w:p w14:paraId="6A8E73E6" w14:textId="77777777" w:rsidR="001473E9" w:rsidRDefault="001473E9" w:rsidP="00B9699E">
      <w:pPr>
        <w:jc w:val="both"/>
      </w:pPr>
    </w:p>
    <w:p w14:paraId="0AD1A484" w14:textId="4FDEB8EF" w:rsidR="00724A85" w:rsidRDefault="00724A85" w:rsidP="00B9699E">
      <w:pPr>
        <w:pStyle w:val="Heading2"/>
        <w:jc w:val="both"/>
      </w:pPr>
      <w:bookmarkStart w:id="4" w:name="_Toc243660147"/>
      <w:r>
        <w:t>Key recommendations</w:t>
      </w:r>
      <w:bookmarkEnd w:id="4"/>
    </w:p>
    <w:p w14:paraId="4690F722" w14:textId="77777777" w:rsidR="00C41E08" w:rsidRDefault="00C41E08" w:rsidP="00B9699E">
      <w:pPr>
        <w:jc w:val="both"/>
      </w:pPr>
      <w:r w:rsidRPr="00C41E08">
        <w:rPr>
          <w:b/>
          <w:bCs/>
          <w:color w:val="00538F" w:themeColor="accent1" w:themeShade="BF"/>
        </w:rPr>
        <w:t>Recommendation 1:</w:t>
      </w:r>
      <w:r w:rsidRPr="00FF7F91">
        <w:t xml:space="preserve"> The MDBA publish further information to show the full extent of change at both a Basin and water source scale of the SDLAM Reconciliation, showing a comparison to a current SDL scenario, and original Basin Plan SDL scenario. This is essential for decision-makers to understand and assess the impacts (and costs), as well as for water users to understand risks.</w:t>
      </w:r>
    </w:p>
    <w:p w14:paraId="4265A7F2" w14:textId="7B54F7A4" w:rsidR="00C41E08" w:rsidRDefault="00C41E08" w:rsidP="00B9699E">
      <w:pPr>
        <w:jc w:val="both"/>
      </w:pPr>
      <w:r w:rsidRPr="00C41E08">
        <w:rPr>
          <w:b/>
          <w:bCs/>
          <w:color w:val="00538F" w:themeColor="accent1" w:themeShade="BF"/>
        </w:rPr>
        <w:t>Recommendation 2:</w:t>
      </w:r>
      <w:r w:rsidRPr="00FF7F91">
        <w:t xml:space="preserve"> NIC recommend that in the advice the MDBA provides to the Minister to inform decision</w:t>
      </w:r>
      <w:r w:rsidR="00B20822">
        <w:t>s</w:t>
      </w:r>
      <w:r w:rsidRPr="00FF7F91">
        <w:t xml:space="preserve"> on the SDLAM Reconciliation, it will be critical to take an outcomes-focused approach. Put simply, one focused on the objective of SDL compliance,</w:t>
      </w:r>
      <w:r w:rsidR="00A83421">
        <w:t xml:space="preserve"> and actual environmental outcomes,</w:t>
      </w:r>
      <w:r w:rsidRPr="00FF7F91">
        <w:t xml:space="preserve"> rather than simple and arbitrary water recovery targets.</w:t>
      </w:r>
    </w:p>
    <w:p w14:paraId="50E8CB86" w14:textId="77777777" w:rsidR="00C41E08" w:rsidRDefault="00C41E08" w:rsidP="00B9699E">
      <w:pPr>
        <w:jc w:val="both"/>
      </w:pPr>
      <w:r w:rsidRPr="00C41E08">
        <w:rPr>
          <w:b/>
          <w:bCs/>
          <w:color w:val="00538F" w:themeColor="accent1" w:themeShade="BF"/>
        </w:rPr>
        <w:t>Recommendation 3:</w:t>
      </w:r>
      <w:r w:rsidRPr="00FF7F91">
        <w:t xml:space="preserve"> MDBA to discuss with the Minister what “in full” implementation of the Basin Plan involves, in the context of the SDLAM Reconciliation, and outstanding projects such as constraints. In our view, focus must be on SDL compliance.</w:t>
      </w:r>
    </w:p>
    <w:p w14:paraId="0DD4C101" w14:textId="46793D68" w:rsidR="00C41E08" w:rsidRDefault="00C41E08" w:rsidP="00B9699E">
      <w:pPr>
        <w:jc w:val="both"/>
      </w:pPr>
      <w:r w:rsidRPr="00C41E08">
        <w:rPr>
          <w:b/>
          <w:bCs/>
          <w:color w:val="00538F" w:themeColor="accent1" w:themeShade="BF"/>
        </w:rPr>
        <w:t>Recommendation 4:</w:t>
      </w:r>
      <w:r w:rsidRPr="00FF7F91">
        <w:t xml:space="preserve"> The evidence-base developed as part of the Basin Plan Review must inform the recommendations provided by the MDBA to </w:t>
      </w:r>
      <w:r w:rsidR="006F2E69">
        <w:t>shape</w:t>
      </w:r>
      <w:r w:rsidRPr="00FF7F91">
        <w:t xml:space="preserve"> decision-making.</w:t>
      </w:r>
    </w:p>
    <w:p w14:paraId="35FCF75D" w14:textId="77777777" w:rsidR="00C41E08" w:rsidRDefault="00C41E08" w:rsidP="00B9699E">
      <w:pPr>
        <w:jc w:val="both"/>
      </w:pPr>
      <w:r w:rsidRPr="00C41E08">
        <w:rPr>
          <w:b/>
          <w:bCs/>
          <w:color w:val="00538F" w:themeColor="accent1" w:themeShade="BF"/>
        </w:rPr>
        <w:t>Recommendation 5:</w:t>
      </w:r>
      <w:r w:rsidRPr="00FF7F91">
        <w:t xml:space="preserve"> Consider the SDLAM Reconciliation as a legacy issue, and as part of the Basin Plan Review and Water Act Amendments in 2027, use the contemporary evidence-base to focus instead on projects (such as community supported constraints projects, and complementary measures), with no further changes to current SDLs.</w:t>
      </w:r>
    </w:p>
    <w:p w14:paraId="44AA86DF" w14:textId="3A28954E" w:rsidR="00C41E08" w:rsidRDefault="00C41E08" w:rsidP="00B9699E">
      <w:pPr>
        <w:jc w:val="both"/>
      </w:pPr>
      <w:r w:rsidRPr="00C41E08">
        <w:rPr>
          <w:b/>
          <w:bCs/>
          <w:color w:val="00538F" w:themeColor="accent1" w:themeShade="BF"/>
        </w:rPr>
        <w:t>Recommendation 6:</w:t>
      </w:r>
      <w:r w:rsidRPr="00FF7F91">
        <w:t xml:space="preserve"> Advice to the Minister must include briefing of the Commonwealth</w:t>
      </w:r>
      <w:r w:rsidR="0057356C">
        <w:t>’</w:t>
      </w:r>
      <w:r w:rsidRPr="00FF7F91">
        <w:t>s financial commitments and liabilities.</w:t>
      </w:r>
    </w:p>
    <w:p w14:paraId="5D04FBEA" w14:textId="77777777" w:rsidR="00C41E08" w:rsidRDefault="00C41E08" w:rsidP="00B9699E">
      <w:pPr>
        <w:jc w:val="both"/>
      </w:pPr>
      <w:r w:rsidRPr="00C41E08">
        <w:rPr>
          <w:b/>
          <w:bCs/>
          <w:color w:val="00538F" w:themeColor="accent1" w:themeShade="BF"/>
        </w:rPr>
        <w:t>Recommendation 7a:</w:t>
      </w:r>
      <w:r>
        <w:t xml:space="preserve"> The decisions on the SDLAM Reconciliation must await the final outcomes of the Basin Plan and other reviews, to be evidence-based decisions.</w:t>
      </w:r>
    </w:p>
    <w:p w14:paraId="23413739" w14:textId="77777777" w:rsidR="00C41E08" w:rsidRDefault="00C41E08" w:rsidP="00B9699E">
      <w:pPr>
        <w:jc w:val="both"/>
      </w:pPr>
      <w:r w:rsidRPr="00C41E08">
        <w:rPr>
          <w:b/>
          <w:bCs/>
          <w:color w:val="00538F" w:themeColor="accent1" w:themeShade="BF"/>
        </w:rPr>
        <w:t>Recommendation 7b</w:t>
      </w:r>
      <w:r>
        <w:t>: A process is needed to give stakeholders confidence of how the Minister plans to pull together the recommendations and findings from multiple reviews into potential legislative amendments. This includes, but is not limited to, SDLAM.</w:t>
      </w:r>
    </w:p>
    <w:p w14:paraId="17F038D0" w14:textId="77777777" w:rsidR="00C41E08" w:rsidRPr="00C41E08" w:rsidRDefault="00C41E08" w:rsidP="00B9699E">
      <w:pPr>
        <w:jc w:val="both"/>
        <w:rPr>
          <w:b/>
          <w:bCs/>
          <w:color w:val="00538F" w:themeColor="accent1" w:themeShade="BF"/>
        </w:rPr>
      </w:pPr>
      <w:r w:rsidRPr="00C41E08">
        <w:rPr>
          <w:b/>
          <w:bCs/>
          <w:color w:val="00538F" w:themeColor="accent1" w:themeShade="BF"/>
        </w:rPr>
        <w:t>Recommendation 8:</w:t>
      </w:r>
    </w:p>
    <w:p w14:paraId="75C03264" w14:textId="77777777" w:rsidR="00C41E08" w:rsidRDefault="00C41E08" w:rsidP="00B9699E">
      <w:pPr>
        <w:jc w:val="both"/>
      </w:pPr>
      <w:r>
        <w:t xml:space="preserve"> In determining how to resolve SDLAM:</w:t>
      </w:r>
    </w:p>
    <w:p w14:paraId="695A1452" w14:textId="77777777" w:rsidR="00C41E08" w:rsidRDefault="00C41E08" w:rsidP="00B9699E">
      <w:pPr>
        <w:pStyle w:val="ListParagraph"/>
        <w:numPr>
          <w:ilvl w:val="0"/>
          <w:numId w:val="25"/>
        </w:numPr>
        <w:jc w:val="both"/>
      </w:pPr>
      <w:r>
        <w:t>Consider it ‘complete’ at the point in which additional HEW recovery exceeds the supply contribution to create a neutral SDL adjustment; or to the extent this is not possible,</w:t>
      </w:r>
    </w:p>
    <w:p w14:paraId="3FCA8081" w14:textId="2653B597" w:rsidR="00C41E08" w:rsidRDefault="00C41E08" w:rsidP="00B9699E">
      <w:pPr>
        <w:pStyle w:val="ListParagraph"/>
        <w:numPr>
          <w:ilvl w:val="0"/>
          <w:numId w:val="25"/>
        </w:numPr>
        <w:jc w:val="both"/>
      </w:pPr>
      <w:r>
        <w:t xml:space="preserve">Account for </w:t>
      </w:r>
      <w:r w:rsidR="13705B7F">
        <w:t>any remaining water recoveries in response to SDLAM</w:t>
      </w:r>
      <w:r>
        <w:t xml:space="preserve"> in the same manner as the Northern Basin Toolkit, </w:t>
      </w:r>
      <w:r w:rsidR="598ACAA4">
        <w:t xml:space="preserve">via alternative investments that are </w:t>
      </w:r>
      <w:r w:rsidR="20398CA4">
        <w:t>outcomes focused and</w:t>
      </w:r>
      <w:r w:rsidR="598ACAA4">
        <w:t xml:space="preserve"> not linked to water targets but include accountability for delivery, as recommended by the Inspector General of Water Compliance</w:t>
      </w:r>
      <w:r w:rsidR="00F5557F">
        <w:t xml:space="preserve"> (IGWC)</w:t>
      </w:r>
      <w:r w:rsidR="598ACAA4">
        <w:t xml:space="preserve">. </w:t>
      </w:r>
    </w:p>
    <w:p w14:paraId="56B0B239" w14:textId="0641F355" w:rsidR="00C41E08" w:rsidRDefault="00C41E08" w:rsidP="00B9699E">
      <w:pPr>
        <w:jc w:val="both"/>
      </w:pPr>
      <w:r>
        <w:t xml:space="preserve">Noting the above is the preferred option </w:t>
      </w:r>
      <w:r w:rsidR="002C77CC">
        <w:t>-</w:t>
      </w:r>
      <w:r>
        <w:t xml:space="preserve"> as it enables resolution and stability and reflects contemporary water management - to the extent that SDLAM continues to operate:</w:t>
      </w:r>
    </w:p>
    <w:p w14:paraId="53B21AFC" w14:textId="0EE2C8EC" w:rsidR="00C41E08" w:rsidRDefault="00C41E08" w:rsidP="00B9699E">
      <w:pPr>
        <w:pStyle w:val="ListParagraph"/>
        <w:numPr>
          <w:ilvl w:val="0"/>
          <w:numId w:val="25"/>
        </w:numPr>
        <w:jc w:val="both"/>
      </w:pPr>
      <w:r w:rsidRPr="00F5557F">
        <w:rPr>
          <w:b/>
          <w:bCs/>
        </w:rPr>
        <w:t>No further changes from current SDLs,</w:t>
      </w:r>
      <w:r>
        <w:t xml:space="preserve"> as communities cannot</w:t>
      </w:r>
      <w:r w:rsidR="009D52E5">
        <w:t xml:space="preserve"> and should not</w:t>
      </w:r>
      <w:r>
        <w:t xml:space="preserve"> bear the burden of poor implementation by State Governments;</w:t>
      </w:r>
    </w:p>
    <w:p w14:paraId="72C20D0F" w14:textId="77777777" w:rsidR="00C41E08" w:rsidRDefault="00C41E08" w:rsidP="00B9699E">
      <w:pPr>
        <w:pStyle w:val="ListParagraph"/>
        <w:numPr>
          <w:ilvl w:val="0"/>
          <w:numId w:val="25"/>
        </w:numPr>
        <w:jc w:val="both"/>
      </w:pPr>
      <w:r>
        <w:t xml:space="preserve">There must be an ability to account for projects as they are implemented over time, in a similar manner to how ‘varying HEW’ can be added post-reconciliation; </w:t>
      </w:r>
    </w:p>
    <w:p w14:paraId="73F0D4D5" w14:textId="7FC47DCC" w:rsidR="00544C66" w:rsidRPr="00544C66" w:rsidRDefault="00C41E08" w:rsidP="00B9699E">
      <w:pPr>
        <w:pStyle w:val="ListParagraph"/>
        <w:numPr>
          <w:ilvl w:val="0"/>
          <w:numId w:val="25"/>
        </w:numPr>
        <w:jc w:val="both"/>
      </w:pPr>
      <w:r>
        <w:t>Flexibility is required to add new projects,</w:t>
      </w:r>
      <w:r w:rsidR="000C4525">
        <w:t xml:space="preserve"> via expanded criteria,</w:t>
      </w:r>
      <w:r>
        <w:t xml:space="preserve"> reflective of </w:t>
      </w:r>
      <w:r w:rsidR="000C4525">
        <w:t>today’s</w:t>
      </w:r>
      <w:r>
        <w:t xml:space="preserve"> environmental priorities, designed in genuine partnership with communities. This may include voluntary partnerships for environmental water delivery, as well as complementary measures.</w:t>
      </w:r>
    </w:p>
    <w:p w14:paraId="5C72F970" w14:textId="77777777" w:rsidR="00FA2BA3" w:rsidRDefault="00FA2BA3" w:rsidP="00B9699E">
      <w:pPr>
        <w:jc w:val="both"/>
      </w:pPr>
      <w:r>
        <w:br w:type="page"/>
      </w:r>
    </w:p>
    <w:sdt>
      <w:sdtPr>
        <w:rPr>
          <w:rFonts w:asciiTheme="minorHAnsi" w:eastAsiaTheme="minorEastAsia" w:hAnsiTheme="minorHAnsi" w:cstheme="minorBidi"/>
          <w:color w:val="auto"/>
          <w:kern w:val="2"/>
          <w:sz w:val="24"/>
          <w:szCs w:val="24"/>
          <w:lang w:val="en-AU"/>
          <w14:ligatures w14:val="standardContextual"/>
        </w:rPr>
        <w:id w:val="-654292655"/>
        <w:docPartObj>
          <w:docPartGallery w:val="Table of Contents"/>
          <w:docPartUnique/>
        </w:docPartObj>
      </w:sdtPr>
      <w:sdtEndPr>
        <w:rPr>
          <w:b/>
        </w:rPr>
      </w:sdtEndPr>
      <w:sdtContent>
        <w:p w14:paraId="40E25482" w14:textId="00D7A926" w:rsidR="00EA358A" w:rsidRDefault="00EA358A">
          <w:pPr>
            <w:pStyle w:val="TOCHeading"/>
          </w:pPr>
          <w:r>
            <w:t>Contents</w:t>
          </w:r>
        </w:p>
        <w:p w14:paraId="12C29176" w14:textId="76A60D5E" w:rsidR="00911A1E" w:rsidRDefault="00EA358A">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243660143" w:history="1">
            <w:r w:rsidR="00911A1E" w:rsidRPr="003F2A46">
              <w:rPr>
                <w:rStyle w:val="Hyperlink"/>
                <w:noProof/>
              </w:rPr>
              <w:t>About us</w:t>
            </w:r>
            <w:r w:rsidR="00911A1E">
              <w:rPr>
                <w:noProof/>
                <w:webHidden/>
              </w:rPr>
              <w:tab/>
            </w:r>
            <w:r w:rsidR="00911A1E">
              <w:rPr>
                <w:noProof/>
                <w:webHidden/>
              </w:rPr>
              <w:fldChar w:fldCharType="begin"/>
            </w:r>
            <w:r w:rsidR="00911A1E">
              <w:rPr>
                <w:noProof/>
                <w:webHidden/>
              </w:rPr>
              <w:instrText xml:space="preserve"> PAGEREF _Toc243660143 \h </w:instrText>
            </w:r>
            <w:r w:rsidR="00911A1E">
              <w:rPr>
                <w:noProof/>
                <w:webHidden/>
              </w:rPr>
            </w:r>
            <w:r w:rsidR="00911A1E">
              <w:rPr>
                <w:noProof/>
                <w:webHidden/>
              </w:rPr>
              <w:fldChar w:fldCharType="separate"/>
            </w:r>
            <w:r w:rsidR="005E2ADD">
              <w:rPr>
                <w:noProof/>
                <w:webHidden/>
              </w:rPr>
              <w:t>1</w:t>
            </w:r>
            <w:r w:rsidR="00911A1E">
              <w:rPr>
                <w:noProof/>
                <w:webHidden/>
              </w:rPr>
              <w:fldChar w:fldCharType="end"/>
            </w:r>
          </w:hyperlink>
        </w:p>
        <w:p w14:paraId="4D530EF8" w14:textId="1F7769A7" w:rsidR="00911A1E" w:rsidRDefault="00911A1E">
          <w:pPr>
            <w:pStyle w:val="TOC1"/>
            <w:tabs>
              <w:tab w:val="right" w:leader="dot" w:pos="9016"/>
            </w:tabs>
            <w:rPr>
              <w:rFonts w:eastAsiaTheme="minorEastAsia"/>
              <w:noProof/>
              <w:lang w:eastAsia="en-AU"/>
            </w:rPr>
          </w:pPr>
          <w:hyperlink w:anchor="_Toc243660144" w:history="1">
            <w:r w:rsidRPr="003F2A46">
              <w:rPr>
                <w:rStyle w:val="Hyperlink"/>
                <w:noProof/>
              </w:rPr>
              <w:t>Background</w:t>
            </w:r>
            <w:r>
              <w:rPr>
                <w:noProof/>
                <w:webHidden/>
              </w:rPr>
              <w:tab/>
            </w:r>
            <w:r>
              <w:rPr>
                <w:noProof/>
                <w:webHidden/>
              </w:rPr>
              <w:fldChar w:fldCharType="begin"/>
            </w:r>
            <w:r>
              <w:rPr>
                <w:noProof/>
                <w:webHidden/>
              </w:rPr>
              <w:instrText xml:space="preserve"> PAGEREF _Toc243660144 \h </w:instrText>
            </w:r>
            <w:r>
              <w:rPr>
                <w:noProof/>
                <w:webHidden/>
              </w:rPr>
            </w:r>
            <w:r>
              <w:rPr>
                <w:noProof/>
                <w:webHidden/>
              </w:rPr>
              <w:fldChar w:fldCharType="separate"/>
            </w:r>
            <w:r w:rsidR="005E2ADD">
              <w:rPr>
                <w:noProof/>
                <w:webHidden/>
              </w:rPr>
              <w:t>1</w:t>
            </w:r>
            <w:r>
              <w:rPr>
                <w:noProof/>
                <w:webHidden/>
              </w:rPr>
              <w:fldChar w:fldCharType="end"/>
            </w:r>
          </w:hyperlink>
        </w:p>
        <w:p w14:paraId="0672154B" w14:textId="385F443F" w:rsidR="00911A1E" w:rsidRDefault="00911A1E">
          <w:pPr>
            <w:pStyle w:val="TOC1"/>
            <w:tabs>
              <w:tab w:val="right" w:leader="dot" w:pos="9016"/>
            </w:tabs>
            <w:rPr>
              <w:rFonts w:eastAsiaTheme="minorEastAsia"/>
              <w:noProof/>
              <w:lang w:eastAsia="en-AU"/>
            </w:rPr>
          </w:pPr>
          <w:hyperlink w:anchor="_Toc243660145" w:history="1">
            <w:r w:rsidRPr="003F2A46">
              <w:rPr>
                <w:rStyle w:val="Hyperlink"/>
                <w:noProof/>
              </w:rPr>
              <w:t>Executive Summary</w:t>
            </w:r>
            <w:r>
              <w:rPr>
                <w:noProof/>
                <w:webHidden/>
              </w:rPr>
              <w:tab/>
            </w:r>
            <w:r>
              <w:rPr>
                <w:noProof/>
                <w:webHidden/>
              </w:rPr>
              <w:fldChar w:fldCharType="begin"/>
            </w:r>
            <w:r>
              <w:rPr>
                <w:noProof/>
                <w:webHidden/>
              </w:rPr>
              <w:instrText xml:space="preserve"> PAGEREF _Toc243660145 \h </w:instrText>
            </w:r>
            <w:r>
              <w:rPr>
                <w:noProof/>
                <w:webHidden/>
              </w:rPr>
            </w:r>
            <w:r>
              <w:rPr>
                <w:noProof/>
                <w:webHidden/>
              </w:rPr>
              <w:fldChar w:fldCharType="separate"/>
            </w:r>
            <w:r w:rsidR="005E2ADD">
              <w:rPr>
                <w:noProof/>
                <w:webHidden/>
              </w:rPr>
              <w:t>1</w:t>
            </w:r>
            <w:r>
              <w:rPr>
                <w:noProof/>
                <w:webHidden/>
              </w:rPr>
              <w:fldChar w:fldCharType="end"/>
            </w:r>
          </w:hyperlink>
        </w:p>
        <w:p w14:paraId="61A77F83" w14:textId="4DF28393" w:rsidR="00911A1E" w:rsidRDefault="00911A1E">
          <w:pPr>
            <w:pStyle w:val="TOC2"/>
            <w:tabs>
              <w:tab w:val="right" w:leader="dot" w:pos="9016"/>
            </w:tabs>
            <w:rPr>
              <w:rFonts w:eastAsiaTheme="minorEastAsia"/>
              <w:noProof/>
              <w:lang w:eastAsia="en-AU"/>
            </w:rPr>
          </w:pPr>
          <w:hyperlink w:anchor="_Toc243660146" w:history="1">
            <w:r w:rsidRPr="003F2A46">
              <w:rPr>
                <w:rStyle w:val="Hyperlink"/>
                <w:noProof/>
              </w:rPr>
              <w:t>Key findings</w:t>
            </w:r>
            <w:r>
              <w:rPr>
                <w:noProof/>
                <w:webHidden/>
              </w:rPr>
              <w:tab/>
            </w:r>
            <w:r>
              <w:rPr>
                <w:noProof/>
                <w:webHidden/>
              </w:rPr>
              <w:fldChar w:fldCharType="begin"/>
            </w:r>
            <w:r>
              <w:rPr>
                <w:noProof/>
                <w:webHidden/>
              </w:rPr>
              <w:instrText xml:space="preserve"> PAGEREF _Toc243660146 \h </w:instrText>
            </w:r>
            <w:r>
              <w:rPr>
                <w:noProof/>
                <w:webHidden/>
              </w:rPr>
            </w:r>
            <w:r>
              <w:rPr>
                <w:noProof/>
                <w:webHidden/>
              </w:rPr>
              <w:fldChar w:fldCharType="separate"/>
            </w:r>
            <w:r w:rsidR="005E2ADD">
              <w:rPr>
                <w:noProof/>
                <w:webHidden/>
              </w:rPr>
              <w:t>1</w:t>
            </w:r>
            <w:r>
              <w:rPr>
                <w:noProof/>
                <w:webHidden/>
              </w:rPr>
              <w:fldChar w:fldCharType="end"/>
            </w:r>
          </w:hyperlink>
        </w:p>
        <w:p w14:paraId="71D3B74D" w14:textId="67F3576D" w:rsidR="00911A1E" w:rsidRDefault="00911A1E">
          <w:pPr>
            <w:pStyle w:val="TOC2"/>
            <w:tabs>
              <w:tab w:val="right" w:leader="dot" w:pos="9016"/>
            </w:tabs>
            <w:rPr>
              <w:rFonts w:eastAsiaTheme="minorEastAsia"/>
              <w:noProof/>
              <w:lang w:eastAsia="en-AU"/>
            </w:rPr>
          </w:pPr>
          <w:hyperlink w:anchor="_Toc243660147" w:history="1">
            <w:r w:rsidRPr="003F2A46">
              <w:rPr>
                <w:rStyle w:val="Hyperlink"/>
                <w:noProof/>
              </w:rPr>
              <w:t>Key recommendations</w:t>
            </w:r>
            <w:r>
              <w:rPr>
                <w:noProof/>
                <w:webHidden/>
              </w:rPr>
              <w:tab/>
            </w:r>
            <w:r>
              <w:rPr>
                <w:noProof/>
                <w:webHidden/>
              </w:rPr>
              <w:fldChar w:fldCharType="begin"/>
            </w:r>
            <w:r>
              <w:rPr>
                <w:noProof/>
                <w:webHidden/>
              </w:rPr>
              <w:instrText xml:space="preserve"> PAGEREF _Toc243660147 \h </w:instrText>
            </w:r>
            <w:r>
              <w:rPr>
                <w:noProof/>
                <w:webHidden/>
              </w:rPr>
            </w:r>
            <w:r>
              <w:rPr>
                <w:noProof/>
                <w:webHidden/>
              </w:rPr>
              <w:fldChar w:fldCharType="separate"/>
            </w:r>
            <w:r w:rsidR="005E2ADD">
              <w:rPr>
                <w:noProof/>
                <w:webHidden/>
              </w:rPr>
              <w:t>3</w:t>
            </w:r>
            <w:r>
              <w:rPr>
                <w:noProof/>
                <w:webHidden/>
              </w:rPr>
              <w:fldChar w:fldCharType="end"/>
            </w:r>
          </w:hyperlink>
        </w:p>
        <w:p w14:paraId="622C08B2" w14:textId="395097A5" w:rsidR="00911A1E" w:rsidRDefault="00911A1E">
          <w:pPr>
            <w:pStyle w:val="TOC1"/>
            <w:tabs>
              <w:tab w:val="right" w:leader="dot" w:pos="9016"/>
            </w:tabs>
            <w:rPr>
              <w:rFonts w:eastAsiaTheme="minorEastAsia"/>
              <w:noProof/>
              <w:lang w:eastAsia="en-AU"/>
            </w:rPr>
          </w:pPr>
          <w:hyperlink w:anchor="_Toc243660148" w:history="1">
            <w:r w:rsidRPr="003F2A46">
              <w:rPr>
                <w:rStyle w:val="Hyperlink"/>
                <w:b/>
                <w:bCs/>
                <w:noProof/>
              </w:rPr>
              <w:t>Part 1: Unpacking what this all means</w:t>
            </w:r>
            <w:r>
              <w:rPr>
                <w:noProof/>
                <w:webHidden/>
              </w:rPr>
              <w:tab/>
            </w:r>
            <w:r>
              <w:rPr>
                <w:noProof/>
                <w:webHidden/>
              </w:rPr>
              <w:fldChar w:fldCharType="begin"/>
            </w:r>
            <w:r>
              <w:rPr>
                <w:noProof/>
                <w:webHidden/>
              </w:rPr>
              <w:instrText xml:space="preserve"> PAGEREF _Toc243660148 \h </w:instrText>
            </w:r>
            <w:r>
              <w:rPr>
                <w:noProof/>
                <w:webHidden/>
              </w:rPr>
            </w:r>
            <w:r>
              <w:rPr>
                <w:noProof/>
                <w:webHidden/>
              </w:rPr>
              <w:fldChar w:fldCharType="separate"/>
            </w:r>
            <w:r w:rsidR="005E2ADD">
              <w:rPr>
                <w:noProof/>
                <w:webHidden/>
              </w:rPr>
              <w:t>6</w:t>
            </w:r>
            <w:r>
              <w:rPr>
                <w:noProof/>
                <w:webHidden/>
              </w:rPr>
              <w:fldChar w:fldCharType="end"/>
            </w:r>
          </w:hyperlink>
        </w:p>
        <w:p w14:paraId="4E567B17" w14:textId="7FB84EBD" w:rsidR="00911A1E" w:rsidRDefault="00911A1E">
          <w:pPr>
            <w:pStyle w:val="TOC1"/>
            <w:tabs>
              <w:tab w:val="right" w:leader="dot" w:pos="9016"/>
            </w:tabs>
            <w:rPr>
              <w:rFonts w:eastAsiaTheme="minorEastAsia"/>
              <w:noProof/>
              <w:lang w:eastAsia="en-AU"/>
            </w:rPr>
          </w:pPr>
          <w:hyperlink w:anchor="_Toc243660149" w:history="1">
            <w:r w:rsidRPr="003F2A46">
              <w:rPr>
                <w:rStyle w:val="Hyperlink"/>
                <w:noProof/>
              </w:rPr>
              <w:t>Identifying the effect of the Draft Determination on SDLs</w:t>
            </w:r>
            <w:r>
              <w:rPr>
                <w:noProof/>
                <w:webHidden/>
              </w:rPr>
              <w:tab/>
            </w:r>
            <w:r>
              <w:rPr>
                <w:noProof/>
                <w:webHidden/>
              </w:rPr>
              <w:fldChar w:fldCharType="begin"/>
            </w:r>
            <w:r>
              <w:rPr>
                <w:noProof/>
                <w:webHidden/>
              </w:rPr>
              <w:instrText xml:space="preserve"> PAGEREF _Toc243660149 \h </w:instrText>
            </w:r>
            <w:r>
              <w:rPr>
                <w:noProof/>
                <w:webHidden/>
              </w:rPr>
            </w:r>
            <w:r>
              <w:rPr>
                <w:noProof/>
                <w:webHidden/>
              </w:rPr>
              <w:fldChar w:fldCharType="separate"/>
            </w:r>
            <w:r w:rsidR="005E2ADD">
              <w:rPr>
                <w:noProof/>
                <w:webHidden/>
              </w:rPr>
              <w:t>7</w:t>
            </w:r>
            <w:r>
              <w:rPr>
                <w:noProof/>
                <w:webHidden/>
              </w:rPr>
              <w:fldChar w:fldCharType="end"/>
            </w:r>
          </w:hyperlink>
        </w:p>
        <w:p w14:paraId="66BD06CE" w14:textId="2AE5116F" w:rsidR="00911A1E" w:rsidRDefault="00911A1E">
          <w:pPr>
            <w:pStyle w:val="TOC2"/>
            <w:tabs>
              <w:tab w:val="right" w:leader="dot" w:pos="9016"/>
            </w:tabs>
            <w:rPr>
              <w:rFonts w:eastAsiaTheme="minorEastAsia"/>
              <w:noProof/>
              <w:lang w:eastAsia="en-AU"/>
            </w:rPr>
          </w:pPr>
          <w:hyperlink w:anchor="_Toc243660150" w:history="1">
            <w:r w:rsidRPr="003F2A46">
              <w:rPr>
                <w:rStyle w:val="Hyperlink"/>
                <w:noProof/>
              </w:rPr>
              <w:t>Scenario analysis</w:t>
            </w:r>
            <w:r>
              <w:rPr>
                <w:noProof/>
                <w:webHidden/>
              </w:rPr>
              <w:tab/>
            </w:r>
            <w:r>
              <w:rPr>
                <w:noProof/>
                <w:webHidden/>
              </w:rPr>
              <w:fldChar w:fldCharType="begin"/>
            </w:r>
            <w:r>
              <w:rPr>
                <w:noProof/>
                <w:webHidden/>
              </w:rPr>
              <w:instrText xml:space="preserve"> PAGEREF _Toc243660150 \h </w:instrText>
            </w:r>
            <w:r>
              <w:rPr>
                <w:noProof/>
                <w:webHidden/>
              </w:rPr>
            </w:r>
            <w:r>
              <w:rPr>
                <w:noProof/>
                <w:webHidden/>
              </w:rPr>
              <w:fldChar w:fldCharType="separate"/>
            </w:r>
            <w:r w:rsidR="005E2ADD">
              <w:rPr>
                <w:noProof/>
                <w:webHidden/>
              </w:rPr>
              <w:t>7</w:t>
            </w:r>
            <w:r>
              <w:rPr>
                <w:noProof/>
                <w:webHidden/>
              </w:rPr>
              <w:fldChar w:fldCharType="end"/>
            </w:r>
          </w:hyperlink>
        </w:p>
        <w:p w14:paraId="7CBB0AC9" w14:textId="03EF92D8" w:rsidR="00911A1E" w:rsidRDefault="00911A1E">
          <w:pPr>
            <w:pStyle w:val="TOC3"/>
            <w:tabs>
              <w:tab w:val="left" w:pos="1200"/>
              <w:tab w:val="right" w:leader="dot" w:pos="9016"/>
            </w:tabs>
            <w:rPr>
              <w:rFonts w:eastAsiaTheme="minorEastAsia"/>
              <w:noProof/>
              <w:lang w:eastAsia="en-AU"/>
            </w:rPr>
          </w:pPr>
          <w:hyperlink w:anchor="_Toc243660151" w:history="1">
            <w:r w:rsidRPr="003F2A46">
              <w:rPr>
                <w:rStyle w:val="Hyperlink"/>
                <w:noProof/>
              </w:rPr>
              <w:t>(a)</w:t>
            </w:r>
            <w:r>
              <w:rPr>
                <w:rFonts w:eastAsiaTheme="minorEastAsia"/>
                <w:noProof/>
                <w:lang w:eastAsia="en-AU"/>
              </w:rPr>
              <w:tab/>
            </w:r>
            <w:r w:rsidRPr="003F2A46">
              <w:rPr>
                <w:rStyle w:val="Hyperlink"/>
                <w:noProof/>
              </w:rPr>
              <w:t>Best case scenario</w:t>
            </w:r>
            <w:r>
              <w:rPr>
                <w:noProof/>
                <w:webHidden/>
              </w:rPr>
              <w:tab/>
            </w:r>
            <w:r>
              <w:rPr>
                <w:noProof/>
                <w:webHidden/>
              </w:rPr>
              <w:fldChar w:fldCharType="begin"/>
            </w:r>
            <w:r>
              <w:rPr>
                <w:noProof/>
                <w:webHidden/>
              </w:rPr>
              <w:instrText xml:space="preserve"> PAGEREF _Toc243660151 \h </w:instrText>
            </w:r>
            <w:r>
              <w:rPr>
                <w:noProof/>
                <w:webHidden/>
              </w:rPr>
            </w:r>
            <w:r>
              <w:rPr>
                <w:noProof/>
                <w:webHidden/>
              </w:rPr>
              <w:fldChar w:fldCharType="separate"/>
            </w:r>
            <w:r w:rsidR="005E2ADD">
              <w:rPr>
                <w:noProof/>
                <w:webHidden/>
              </w:rPr>
              <w:t>8</w:t>
            </w:r>
            <w:r>
              <w:rPr>
                <w:noProof/>
                <w:webHidden/>
              </w:rPr>
              <w:fldChar w:fldCharType="end"/>
            </w:r>
          </w:hyperlink>
        </w:p>
        <w:p w14:paraId="2E99CE30" w14:textId="71EE95AF" w:rsidR="00911A1E" w:rsidRDefault="00911A1E">
          <w:pPr>
            <w:pStyle w:val="TOC3"/>
            <w:tabs>
              <w:tab w:val="left" w:pos="1200"/>
              <w:tab w:val="right" w:leader="dot" w:pos="9016"/>
            </w:tabs>
            <w:rPr>
              <w:rFonts w:eastAsiaTheme="minorEastAsia"/>
              <w:noProof/>
              <w:lang w:eastAsia="en-AU"/>
            </w:rPr>
          </w:pPr>
          <w:hyperlink w:anchor="_Toc243660152" w:history="1">
            <w:r w:rsidRPr="003F2A46">
              <w:rPr>
                <w:rStyle w:val="Hyperlink"/>
                <w:noProof/>
              </w:rPr>
              <w:t>(b)</w:t>
            </w:r>
            <w:r>
              <w:rPr>
                <w:rFonts w:eastAsiaTheme="minorEastAsia"/>
                <w:noProof/>
                <w:lang w:eastAsia="en-AU"/>
              </w:rPr>
              <w:tab/>
            </w:r>
            <w:r w:rsidRPr="003F2A46">
              <w:rPr>
                <w:rStyle w:val="Hyperlink"/>
                <w:noProof/>
              </w:rPr>
              <w:t>Draft Determination scenario</w:t>
            </w:r>
            <w:r>
              <w:rPr>
                <w:noProof/>
                <w:webHidden/>
              </w:rPr>
              <w:tab/>
            </w:r>
            <w:r>
              <w:rPr>
                <w:noProof/>
                <w:webHidden/>
              </w:rPr>
              <w:fldChar w:fldCharType="begin"/>
            </w:r>
            <w:r>
              <w:rPr>
                <w:noProof/>
                <w:webHidden/>
              </w:rPr>
              <w:instrText xml:space="preserve"> PAGEREF _Toc243660152 \h </w:instrText>
            </w:r>
            <w:r>
              <w:rPr>
                <w:noProof/>
                <w:webHidden/>
              </w:rPr>
            </w:r>
            <w:r>
              <w:rPr>
                <w:noProof/>
                <w:webHidden/>
              </w:rPr>
              <w:fldChar w:fldCharType="separate"/>
            </w:r>
            <w:r w:rsidR="005E2ADD">
              <w:rPr>
                <w:noProof/>
                <w:webHidden/>
              </w:rPr>
              <w:t>8</w:t>
            </w:r>
            <w:r>
              <w:rPr>
                <w:noProof/>
                <w:webHidden/>
              </w:rPr>
              <w:fldChar w:fldCharType="end"/>
            </w:r>
          </w:hyperlink>
        </w:p>
        <w:p w14:paraId="5D87C301" w14:textId="14B361F3" w:rsidR="00911A1E" w:rsidRDefault="00911A1E">
          <w:pPr>
            <w:pStyle w:val="TOC3"/>
            <w:tabs>
              <w:tab w:val="left" w:pos="1200"/>
              <w:tab w:val="right" w:leader="dot" w:pos="9016"/>
            </w:tabs>
            <w:rPr>
              <w:rFonts w:eastAsiaTheme="minorEastAsia"/>
              <w:noProof/>
              <w:lang w:eastAsia="en-AU"/>
            </w:rPr>
          </w:pPr>
          <w:hyperlink w:anchor="_Toc243660153" w:history="1">
            <w:r w:rsidRPr="003F2A46">
              <w:rPr>
                <w:rStyle w:val="Hyperlink"/>
                <w:noProof/>
              </w:rPr>
              <w:t>(c)</w:t>
            </w:r>
            <w:r>
              <w:rPr>
                <w:rFonts w:eastAsiaTheme="minorEastAsia"/>
                <w:noProof/>
                <w:lang w:eastAsia="en-AU"/>
              </w:rPr>
              <w:tab/>
            </w:r>
            <w:r w:rsidRPr="003F2A46">
              <w:rPr>
                <w:rStyle w:val="Hyperlink"/>
                <w:noProof/>
              </w:rPr>
              <w:t>Potential Determination scenarios</w:t>
            </w:r>
            <w:r>
              <w:rPr>
                <w:noProof/>
                <w:webHidden/>
              </w:rPr>
              <w:tab/>
            </w:r>
            <w:r>
              <w:rPr>
                <w:noProof/>
                <w:webHidden/>
              </w:rPr>
              <w:fldChar w:fldCharType="begin"/>
            </w:r>
            <w:r>
              <w:rPr>
                <w:noProof/>
                <w:webHidden/>
              </w:rPr>
              <w:instrText xml:space="preserve"> PAGEREF _Toc243660153 \h </w:instrText>
            </w:r>
            <w:r>
              <w:rPr>
                <w:noProof/>
                <w:webHidden/>
              </w:rPr>
            </w:r>
            <w:r>
              <w:rPr>
                <w:noProof/>
                <w:webHidden/>
              </w:rPr>
              <w:fldChar w:fldCharType="separate"/>
            </w:r>
            <w:r w:rsidR="005E2ADD">
              <w:rPr>
                <w:noProof/>
                <w:webHidden/>
              </w:rPr>
              <w:t>11</w:t>
            </w:r>
            <w:r>
              <w:rPr>
                <w:noProof/>
                <w:webHidden/>
              </w:rPr>
              <w:fldChar w:fldCharType="end"/>
            </w:r>
          </w:hyperlink>
        </w:p>
        <w:p w14:paraId="3C50E6B7" w14:textId="064F50BB" w:rsidR="00911A1E" w:rsidRDefault="00911A1E">
          <w:pPr>
            <w:pStyle w:val="TOC2"/>
            <w:tabs>
              <w:tab w:val="right" w:leader="dot" w:pos="9016"/>
            </w:tabs>
            <w:rPr>
              <w:rFonts w:eastAsiaTheme="minorEastAsia"/>
              <w:noProof/>
              <w:lang w:eastAsia="en-AU"/>
            </w:rPr>
          </w:pPr>
          <w:hyperlink w:anchor="_Toc243660154" w:history="1">
            <w:r w:rsidRPr="003F2A46">
              <w:rPr>
                <w:rStyle w:val="Hyperlink"/>
                <w:noProof/>
              </w:rPr>
              <w:t>Understanding what the SDLAM Reconciliation may mean for each water source</w:t>
            </w:r>
            <w:r>
              <w:rPr>
                <w:noProof/>
                <w:webHidden/>
              </w:rPr>
              <w:tab/>
            </w:r>
            <w:r>
              <w:rPr>
                <w:noProof/>
                <w:webHidden/>
              </w:rPr>
              <w:fldChar w:fldCharType="begin"/>
            </w:r>
            <w:r>
              <w:rPr>
                <w:noProof/>
                <w:webHidden/>
              </w:rPr>
              <w:instrText xml:space="preserve"> PAGEREF _Toc243660154 \h </w:instrText>
            </w:r>
            <w:r>
              <w:rPr>
                <w:noProof/>
                <w:webHidden/>
              </w:rPr>
            </w:r>
            <w:r>
              <w:rPr>
                <w:noProof/>
                <w:webHidden/>
              </w:rPr>
              <w:fldChar w:fldCharType="separate"/>
            </w:r>
            <w:r w:rsidR="005E2ADD">
              <w:rPr>
                <w:noProof/>
                <w:webHidden/>
              </w:rPr>
              <w:t>13</w:t>
            </w:r>
            <w:r>
              <w:rPr>
                <w:noProof/>
                <w:webHidden/>
              </w:rPr>
              <w:fldChar w:fldCharType="end"/>
            </w:r>
          </w:hyperlink>
        </w:p>
        <w:p w14:paraId="06AFBCCC" w14:textId="5AAE216D" w:rsidR="00911A1E" w:rsidRDefault="00911A1E">
          <w:pPr>
            <w:pStyle w:val="TOC1"/>
            <w:tabs>
              <w:tab w:val="right" w:leader="dot" w:pos="9016"/>
            </w:tabs>
            <w:rPr>
              <w:rFonts w:eastAsiaTheme="minorEastAsia"/>
              <w:noProof/>
              <w:lang w:eastAsia="en-AU"/>
            </w:rPr>
          </w:pPr>
          <w:hyperlink w:anchor="_Toc243660155" w:history="1">
            <w:r w:rsidRPr="003F2A46">
              <w:rPr>
                <w:rStyle w:val="Hyperlink"/>
                <w:b/>
                <w:bCs/>
                <w:noProof/>
              </w:rPr>
              <w:t>Part 2: NIC Response</w:t>
            </w:r>
            <w:r>
              <w:rPr>
                <w:noProof/>
                <w:webHidden/>
              </w:rPr>
              <w:tab/>
            </w:r>
            <w:r>
              <w:rPr>
                <w:noProof/>
                <w:webHidden/>
              </w:rPr>
              <w:fldChar w:fldCharType="begin"/>
            </w:r>
            <w:r>
              <w:rPr>
                <w:noProof/>
                <w:webHidden/>
              </w:rPr>
              <w:instrText xml:space="preserve"> PAGEREF _Toc243660155 \h </w:instrText>
            </w:r>
            <w:r>
              <w:rPr>
                <w:noProof/>
                <w:webHidden/>
              </w:rPr>
            </w:r>
            <w:r>
              <w:rPr>
                <w:noProof/>
                <w:webHidden/>
              </w:rPr>
              <w:fldChar w:fldCharType="separate"/>
            </w:r>
            <w:r w:rsidR="005E2ADD">
              <w:rPr>
                <w:noProof/>
                <w:webHidden/>
              </w:rPr>
              <w:t>17</w:t>
            </w:r>
            <w:r>
              <w:rPr>
                <w:noProof/>
                <w:webHidden/>
              </w:rPr>
              <w:fldChar w:fldCharType="end"/>
            </w:r>
          </w:hyperlink>
        </w:p>
        <w:p w14:paraId="1EEA8812" w14:textId="5D29F3B9" w:rsidR="00911A1E" w:rsidRDefault="00911A1E">
          <w:pPr>
            <w:pStyle w:val="TOC1"/>
            <w:tabs>
              <w:tab w:val="right" w:leader="dot" w:pos="9016"/>
            </w:tabs>
            <w:rPr>
              <w:rFonts w:eastAsiaTheme="minorEastAsia"/>
              <w:noProof/>
              <w:lang w:eastAsia="en-AU"/>
            </w:rPr>
          </w:pPr>
          <w:hyperlink w:anchor="_Toc243660156" w:history="1">
            <w:r w:rsidRPr="003F2A46">
              <w:rPr>
                <w:rStyle w:val="Hyperlink"/>
                <w:noProof/>
              </w:rPr>
              <w:t>Move away from ‘buckets’ of recovery to core objective of SDL compliance</w:t>
            </w:r>
            <w:r>
              <w:rPr>
                <w:noProof/>
                <w:webHidden/>
              </w:rPr>
              <w:tab/>
            </w:r>
            <w:r>
              <w:rPr>
                <w:noProof/>
                <w:webHidden/>
              </w:rPr>
              <w:fldChar w:fldCharType="begin"/>
            </w:r>
            <w:r>
              <w:rPr>
                <w:noProof/>
                <w:webHidden/>
              </w:rPr>
              <w:instrText xml:space="preserve"> PAGEREF _Toc243660156 \h </w:instrText>
            </w:r>
            <w:r>
              <w:rPr>
                <w:noProof/>
                <w:webHidden/>
              </w:rPr>
            </w:r>
            <w:r>
              <w:rPr>
                <w:noProof/>
                <w:webHidden/>
              </w:rPr>
              <w:fldChar w:fldCharType="separate"/>
            </w:r>
            <w:r w:rsidR="005E2ADD">
              <w:rPr>
                <w:noProof/>
                <w:webHidden/>
              </w:rPr>
              <w:t>18</w:t>
            </w:r>
            <w:r>
              <w:rPr>
                <w:noProof/>
                <w:webHidden/>
              </w:rPr>
              <w:fldChar w:fldCharType="end"/>
            </w:r>
          </w:hyperlink>
        </w:p>
        <w:p w14:paraId="2672E997" w14:textId="07537BD4" w:rsidR="00911A1E" w:rsidRDefault="00911A1E">
          <w:pPr>
            <w:pStyle w:val="TOC2"/>
            <w:tabs>
              <w:tab w:val="right" w:leader="dot" w:pos="9016"/>
            </w:tabs>
            <w:rPr>
              <w:rFonts w:eastAsiaTheme="minorEastAsia"/>
              <w:noProof/>
              <w:lang w:eastAsia="en-AU"/>
            </w:rPr>
          </w:pPr>
          <w:hyperlink w:anchor="_Toc243660157" w:history="1">
            <w:r w:rsidRPr="003F2A46">
              <w:rPr>
                <w:rStyle w:val="Hyperlink"/>
                <w:noProof/>
              </w:rPr>
              <w:t>What does delivering the Plan “in full” look like?</w:t>
            </w:r>
            <w:r>
              <w:rPr>
                <w:noProof/>
                <w:webHidden/>
              </w:rPr>
              <w:tab/>
            </w:r>
            <w:r>
              <w:rPr>
                <w:noProof/>
                <w:webHidden/>
              </w:rPr>
              <w:fldChar w:fldCharType="begin"/>
            </w:r>
            <w:r>
              <w:rPr>
                <w:noProof/>
                <w:webHidden/>
              </w:rPr>
              <w:instrText xml:space="preserve"> PAGEREF _Toc243660157 \h </w:instrText>
            </w:r>
            <w:r>
              <w:rPr>
                <w:noProof/>
                <w:webHidden/>
              </w:rPr>
            </w:r>
            <w:r>
              <w:rPr>
                <w:noProof/>
                <w:webHidden/>
              </w:rPr>
              <w:fldChar w:fldCharType="separate"/>
            </w:r>
            <w:r w:rsidR="005E2ADD">
              <w:rPr>
                <w:noProof/>
                <w:webHidden/>
              </w:rPr>
              <w:t>19</w:t>
            </w:r>
            <w:r>
              <w:rPr>
                <w:noProof/>
                <w:webHidden/>
              </w:rPr>
              <w:fldChar w:fldCharType="end"/>
            </w:r>
          </w:hyperlink>
        </w:p>
        <w:p w14:paraId="21781189" w14:textId="3E486016" w:rsidR="00911A1E" w:rsidRDefault="00911A1E">
          <w:pPr>
            <w:pStyle w:val="TOC1"/>
            <w:tabs>
              <w:tab w:val="right" w:leader="dot" w:pos="9016"/>
            </w:tabs>
            <w:rPr>
              <w:rFonts w:eastAsiaTheme="minorEastAsia"/>
              <w:noProof/>
              <w:lang w:eastAsia="en-AU"/>
            </w:rPr>
          </w:pPr>
          <w:hyperlink w:anchor="_Toc243660158" w:history="1">
            <w:r w:rsidRPr="003F2A46">
              <w:rPr>
                <w:rStyle w:val="Hyperlink"/>
                <w:noProof/>
              </w:rPr>
              <w:t>SDLAM for socio-economic protection</w:t>
            </w:r>
            <w:r>
              <w:rPr>
                <w:noProof/>
                <w:webHidden/>
              </w:rPr>
              <w:tab/>
            </w:r>
            <w:r>
              <w:rPr>
                <w:noProof/>
                <w:webHidden/>
              </w:rPr>
              <w:fldChar w:fldCharType="begin"/>
            </w:r>
            <w:r>
              <w:rPr>
                <w:noProof/>
                <w:webHidden/>
              </w:rPr>
              <w:instrText xml:space="preserve"> PAGEREF _Toc243660158 \h </w:instrText>
            </w:r>
            <w:r>
              <w:rPr>
                <w:noProof/>
                <w:webHidden/>
              </w:rPr>
            </w:r>
            <w:r>
              <w:rPr>
                <w:noProof/>
                <w:webHidden/>
              </w:rPr>
              <w:fldChar w:fldCharType="separate"/>
            </w:r>
            <w:r w:rsidR="005E2ADD">
              <w:rPr>
                <w:noProof/>
                <w:webHidden/>
              </w:rPr>
              <w:t>19</w:t>
            </w:r>
            <w:r>
              <w:rPr>
                <w:noProof/>
                <w:webHidden/>
              </w:rPr>
              <w:fldChar w:fldCharType="end"/>
            </w:r>
          </w:hyperlink>
        </w:p>
        <w:p w14:paraId="164579C8" w14:textId="23E26227" w:rsidR="00911A1E" w:rsidRDefault="00911A1E">
          <w:pPr>
            <w:pStyle w:val="TOC1"/>
            <w:tabs>
              <w:tab w:val="right" w:leader="dot" w:pos="9016"/>
            </w:tabs>
            <w:rPr>
              <w:rFonts w:eastAsiaTheme="minorEastAsia"/>
              <w:noProof/>
              <w:lang w:eastAsia="en-AU"/>
            </w:rPr>
          </w:pPr>
          <w:hyperlink w:anchor="_Toc243660159" w:history="1">
            <w:r w:rsidRPr="003F2A46">
              <w:rPr>
                <w:rStyle w:val="Hyperlink"/>
                <w:noProof/>
              </w:rPr>
              <w:t>Environment needs more than ‘just adding water’</w:t>
            </w:r>
            <w:r>
              <w:rPr>
                <w:noProof/>
                <w:webHidden/>
              </w:rPr>
              <w:tab/>
            </w:r>
            <w:r>
              <w:rPr>
                <w:noProof/>
                <w:webHidden/>
              </w:rPr>
              <w:fldChar w:fldCharType="begin"/>
            </w:r>
            <w:r>
              <w:rPr>
                <w:noProof/>
                <w:webHidden/>
              </w:rPr>
              <w:instrText xml:space="preserve"> PAGEREF _Toc243660159 \h </w:instrText>
            </w:r>
            <w:r>
              <w:rPr>
                <w:noProof/>
                <w:webHidden/>
              </w:rPr>
            </w:r>
            <w:r>
              <w:rPr>
                <w:noProof/>
                <w:webHidden/>
              </w:rPr>
              <w:fldChar w:fldCharType="separate"/>
            </w:r>
            <w:r w:rsidR="005E2ADD">
              <w:rPr>
                <w:noProof/>
                <w:webHidden/>
              </w:rPr>
              <w:t>21</w:t>
            </w:r>
            <w:r>
              <w:rPr>
                <w:noProof/>
                <w:webHidden/>
              </w:rPr>
              <w:fldChar w:fldCharType="end"/>
            </w:r>
          </w:hyperlink>
        </w:p>
        <w:p w14:paraId="025DAC4D" w14:textId="7EB7D155" w:rsidR="00911A1E" w:rsidRDefault="00911A1E">
          <w:pPr>
            <w:pStyle w:val="TOC1"/>
            <w:tabs>
              <w:tab w:val="right" w:leader="dot" w:pos="9016"/>
            </w:tabs>
            <w:rPr>
              <w:rFonts w:eastAsiaTheme="minorEastAsia"/>
              <w:noProof/>
              <w:lang w:eastAsia="en-AU"/>
            </w:rPr>
          </w:pPr>
          <w:hyperlink w:anchor="_Toc243660160" w:history="1">
            <w:r w:rsidRPr="003F2A46">
              <w:rPr>
                <w:rStyle w:val="Hyperlink"/>
                <w:noProof/>
              </w:rPr>
              <w:t>Important projects to continue</w:t>
            </w:r>
            <w:r>
              <w:rPr>
                <w:noProof/>
                <w:webHidden/>
              </w:rPr>
              <w:tab/>
            </w:r>
            <w:r>
              <w:rPr>
                <w:noProof/>
                <w:webHidden/>
              </w:rPr>
              <w:fldChar w:fldCharType="begin"/>
            </w:r>
            <w:r>
              <w:rPr>
                <w:noProof/>
                <w:webHidden/>
              </w:rPr>
              <w:instrText xml:space="preserve"> PAGEREF _Toc243660160 \h </w:instrText>
            </w:r>
            <w:r>
              <w:rPr>
                <w:noProof/>
                <w:webHidden/>
              </w:rPr>
            </w:r>
            <w:r>
              <w:rPr>
                <w:noProof/>
                <w:webHidden/>
              </w:rPr>
              <w:fldChar w:fldCharType="separate"/>
            </w:r>
            <w:r w:rsidR="005E2ADD">
              <w:rPr>
                <w:noProof/>
                <w:webHidden/>
              </w:rPr>
              <w:t>29</w:t>
            </w:r>
            <w:r>
              <w:rPr>
                <w:noProof/>
                <w:webHidden/>
              </w:rPr>
              <w:fldChar w:fldCharType="end"/>
            </w:r>
          </w:hyperlink>
        </w:p>
        <w:p w14:paraId="5EA7B3C1" w14:textId="7E0403C9" w:rsidR="00911A1E" w:rsidRDefault="00911A1E">
          <w:pPr>
            <w:pStyle w:val="TOC2"/>
            <w:tabs>
              <w:tab w:val="right" w:leader="dot" w:pos="9016"/>
            </w:tabs>
            <w:rPr>
              <w:rFonts w:eastAsiaTheme="minorEastAsia"/>
              <w:noProof/>
              <w:lang w:eastAsia="en-AU"/>
            </w:rPr>
          </w:pPr>
          <w:hyperlink w:anchor="_Toc243660161" w:history="1">
            <w:r w:rsidRPr="003F2A46">
              <w:rPr>
                <w:rStyle w:val="Hyperlink"/>
                <w:noProof/>
              </w:rPr>
              <w:t>Incomplete projects</w:t>
            </w:r>
            <w:r>
              <w:rPr>
                <w:noProof/>
                <w:webHidden/>
              </w:rPr>
              <w:tab/>
            </w:r>
            <w:r>
              <w:rPr>
                <w:noProof/>
                <w:webHidden/>
              </w:rPr>
              <w:fldChar w:fldCharType="begin"/>
            </w:r>
            <w:r>
              <w:rPr>
                <w:noProof/>
                <w:webHidden/>
              </w:rPr>
              <w:instrText xml:space="preserve"> PAGEREF _Toc243660161 \h </w:instrText>
            </w:r>
            <w:r>
              <w:rPr>
                <w:noProof/>
                <w:webHidden/>
              </w:rPr>
            </w:r>
            <w:r>
              <w:rPr>
                <w:noProof/>
                <w:webHidden/>
              </w:rPr>
              <w:fldChar w:fldCharType="separate"/>
            </w:r>
            <w:r w:rsidR="005E2ADD">
              <w:rPr>
                <w:noProof/>
                <w:webHidden/>
              </w:rPr>
              <w:t>30</w:t>
            </w:r>
            <w:r>
              <w:rPr>
                <w:noProof/>
                <w:webHidden/>
              </w:rPr>
              <w:fldChar w:fldCharType="end"/>
            </w:r>
          </w:hyperlink>
        </w:p>
        <w:p w14:paraId="62A7CC47" w14:textId="1A29B191" w:rsidR="00911A1E" w:rsidRDefault="00911A1E">
          <w:pPr>
            <w:pStyle w:val="TOC1"/>
            <w:tabs>
              <w:tab w:val="right" w:leader="dot" w:pos="9016"/>
            </w:tabs>
            <w:rPr>
              <w:rFonts w:eastAsiaTheme="minorEastAsia"/>
              <w:noProof/>
              <w:lang w:eastAsia="en-AU"/>
            </w:rPr>
          </w:pPr>
          <w:hyperlink w:anchor="_Toc243660162" w:history="1">
            <w:r w:rsidRPr="003F2A46">
              <w:rPr>
                <w:rStyle w:val="Hyperlink"/>
                <w:noProof/>
              </w:rPr>
              <w:t>Protecting entitlement reliability</w:t>
            </w:r>
            <w:r>
              <w:rPr>
                <w:noProof/>
                <w:webHidden/>
              </w:rPr>
              <w:tab/>
            </w:r>
            <w:r>
              <w:rPr>
                <w:noProof/>
                <w:webHidden/>
              </w:rPr>
              <w:fldChar w:fldCharType="begin"/>
            </w:r>
            <w:r>
              <w:rPr>
                <w:noProof/>
                <w:webHidden/>
              </w:rPr>
              <w:instrText xml:space="preserve"> PAGEREF _Toc243660162 \h </w:instrText>
            </w:r>
            <w:r>
              <w:rPr>
                <w:noProof/>
                <w:webHidden/>
              </w:rPr>
            </w:r>
            <w:r>
              <w:rPr>
                <w:noProof/>
                <w:webHidden/>
              </w:rPr>
              <w:fldChar w:fldCharType="separate"/>
            </w:r>
            <w:r w:rsidR="005E2ADD">
              <w:rPr>
                <w:noProof/>
                <w:webHidden/>
              </w:rPr>
              <w:t>31</w:t>
            </w:r>
            <w:r>
              <w:rPr>
                <w:noProof/>
                <w:webHidden/>
              </w:rPr>
              <w:fldChar w:fldCharType="end"/>
            </w:r>
          </w:hyperlink>
        </w:p>
        <w:p w14:paraId="5A54B67A" w14:textId="10837A39" w:rsidR="00911A1E" w:rsidRDefault="00911A1E">
          <w:pPr>
            <w:pStyle w:val="TOC2"/>
            <w:tabs>
              <w:tab w:val="right" w:leader="dot" w:pos="9016"/>
            </w:tabs>
            <w:rPr>
              <w:rFonts w:eastAsiaTheme="minorEastAsia"/>
              <w:noProof/>
              <w:lang w:eastAsia="en-AU"/>
            </w:rPr>
          </w:pPr>
          <w:hyperlink w:anchor="_Toc243660163" w:history="1">
            <w:r w:rsidRPr="003F2A46">
              <w:rPr>
                <w:rStyle w:val="Hyperlink"/>
                <w:noProof/>
              </w:rPr>
              <w:t>Risk responsibilities of the Commonwealth</w:t>
            </w:r>
            <w:r>
              <w:rPr>
                <w:noProof/>
                <w:webHidden/>
              </w:rPr>
              <w:tab/>
            </w:r>
            <w:r>
              <w:rPr>
                <w:noProof/>
                <w:webHidden/>
              </w:rPr>
              <w:fldChar w:fldCharType="begin"/>
            </w:r>
            <w:r>
              <w:rPr>
                <w:noProof/>
                <w:webHidden/>
              </w:rPr>
              <w:instrText xml:space="preserve"> PAGEREF _Toc243660163 \h </w:instrText>
            </w:r>
            <w:r>
              <w:rPr>
                <w:noProof/>
                <w:webHidden/>
              </w:rPr>
            </w:r>
            <w:r>
              <w:rPr>
                <w:noProof/>
                <w:webHidden/>
              </w:rPr>
              <w:fldChar w:fldCharType="separate"/>
            </w:r>
            <w:r w:rsidR="005E2ADD">
              <w:rPr>
                <w:noProof/>
                <w:webHidden/>
              </w:rPr>
              <w:t>31</w:t>
            </w:r>
            <w:r>
              <w:rPr>
                <w:noProof/>
                <w:webHidden/>
              </w:rPr>
              <w:fldChar w:fldCharType="end"/>
            </w:r>
          </w:hyperlink>
        </w:p>
        <w:p w14:paraId="7EE95BBB" w14:textId="75145A6F" w:rsidR="00911A1E" w:rsidRDefault="00911A1E">
          <w:pPr>
            <w:pStyle w:val="TOC1"/>
            <w:tabs>
              <w:tab w:val="right" w:leader="dot" w:pos="9016"/>
            </w:tabs>
            <w:rPr>
              <w:rFonts w:eastAsiaTheme="minorEastAsia"/>
              <w:noProof/>
              <w:lang w:eastAsia="en-AU"/>
            </w:rPr>
          </w:pPr>
          <w:hyperlink w:anchor="_Toc243660164" w:history="1">
            <w:r w:rsidRPr="003F2A46">
              <w:rPr>
                <w:rStyle w:val="Hyperlink"/>
                <w:noProof/>
              </w:rPr>
              <w:t>Clarification of process going forward</w:t>
            </w:r>
            <w:r>
              <w:rPr>
                <w:noProof/>
                <w:webHidden/>
              </w:rPr>
              <w:tab/>
            </w:r>
            <w:r>
              <w:rPr>
                <w:noProof/>
                <w:webHidden/>
              </w:rPr>
              <w:fldChar w:fldCharType="begin"/>
            </w:r>
            <w:r>
              <w:rPr>
                <w:noProof/>
                <w:webHidden/>
              </w:rPr>
              <w:instrText xml:space="preserve"> PAGEREF _Toc243660164 \h </w:instrText>
            </w:r>
            <w:r>
              <w:rPr>
                <w:noProof/>
                <w:webHidden/>
              </w:rPr>
            </w:r>
            <w:r>
              <w:rPr>
                <w:noProof/>
                <w:webHidden/>
              </w:rPr>
              <w:fldChar w:fldCharType="separate"/>
            </w:r>
            <w:r w:rsidR="005E2ADD">
              <w:rPr>
                <w:noProof/>
                <w:webHidden/>
              </w:rPr>
              <w:t>32</w:t>
            </w:r>
            <w:r>
              <w:rPr>
                <w:noProof/>
                <w:webHidden/>
              </w:rPr>
              <w:fldChar w:fldCharType="end"/>
            </w:r>
          </w:hyperlink>
        </w:p>
        <w:p w14:paraId="597106F9" w14:textId="2BFEA6D0" w:rsidR="00911A1E" w:rsidRDefault="00911A1E">
          <w:pPr>
            <w:pStyle w:val="TOC1"/>
            <w:tabs>
              <w:tab w:val="right" w:leader="dot" w:pos="9016"/>
            </w:tabs>
            <w:rPr>
              <w:rFonts w:eastAsiaTheme="minorEastAsia"/>
              <w:noProof/>
              <w:lang w:eastAsia="en-AU"/>
            </w:rPr>
          </w:pPr>
          <w:hyperlink w:anchor="_Toc243660165" w:history="1">
            <w:r w:rsidRPr="003F2A46">
              <w:rPr>
                <w:rStyle w:val="Hyperlink"/>
                <w:noProof/>
              </w:rPr>
              <w:t>Technical aspects of determining the determination</w:t>
            </w:r>
            <w:r>
              <w:rPr>
                <w:noProof/>
                <w:webHidden/>
              </w:rPr>
              <w:tab/>
            </w:r>
            <w:r>
              <w:rPr>
                <w:noProof/>
                <w:webHidden/>
              </w:rPr>
              <w:fldChar w:fldCharType="begin"/>
            </w:r>
            <w:r>
              <w:rPr>
                <w:noProof/>
                <w:webHidden/>
              </w:rPr>
              <w:instrText xml:space="preserve"> PAGEREF _Toc243660165 \h </w:instrText>
            </w:r>
            <w:r>
              <w:rPr>
                <w:noProof/>
                <w:webHidden/>
              </w:rPr>
            </w:r>
            <w:r>
              <w:rPr>
                <w:noProof/>
                <w:webHidden/>
              </w:rPr>
              <w:fldChar w:fldCharType="separate"/>
            </w:r>
            <w:r w:rsidR="005E2ADD">
              <w:rPr>
                <w:noProof/>
                <w:webHidden/>
              </w:rPr>
              <w:t>33</w:t>
            </w:r>
            <w:r>
              <w:rPr>
                <w:noProof/>
                <w:webHidden/>
              </w:rPr>
              <w:fldChar w:fldCharType="end"/>
            </w:r>
          </w:hyperlink>
        </w:p>
        <w:p w14:paraId="602569FA" w14:textId="2A768C85" w:rsidR="00911A1E" w:rsidRDefault="00911A1E">
          <w:pPr>
            <w:pStyle w:val="TOC1"/>
            <w:tabs>
              <w:tab w:val="right" w:leader="dot" w:pos="9016"/>
            </w:tabs>
            <w:rPr>
              <w:rFonts w:eastAsiaTheme="minorEastAsia"/>
              <w:noProof/>
              <w:lang w:eastAsia="en-AU"/>
            </w:rPr>
          </w:pPr>
          <w:hyperlink w:anchor="_Toc243660166" w:history="1">
            <w:r w:rsidRPr="003F2A46">
              <w:rPr>
                <w:rStyle w:val="Hyperlink"/>
                <w:noProof/>
              </w:rPr>
              <w:t>Moving Forward: How to resolve SDLAM</w:t>
            </w:r>
            <w:r>
              <w:rPr>
                <w:noProof/>
                <w:webHidden/>
              </w:rPr>
              <w:tab/>
            </w:r>
            <w:r>
              <w:rPr>
                <w:noProof/>
                <w:webHidden/>
              </w:rPr>
              <w:fldChar w:fldCharType="begin"/>
            </w:r>
            <w:r>
              <w:rPr>
                <w:noProof/>
                <w:webHidden/>
              </w:rPr>
              <w:instrText xml:space="preserve"> PAGEREF _Toc243660166 \h </w:instrText>
            </w:r>
            <w:r>
              <w:rPr>
                <w:noProof/>
                <w:webHidden/>
              </w:rPr>
            </w:r>
            <w:r>
              <w:rPr>
                <w:noProof/>
                <w:webHidden/>
              </w:rPr>
              <w:fldChar w:fldCharType="separate"/>
            </w:r>
            <w:r w:rsidR="005E2ADD">
              <w:rPr>
                <w:noProof/>
                <w:webHidden/>
              </w:rPr>
              <w:t>33</w:t>
            </w:r>
            <w:r>
              <w:rPr>
                <w:noProof/>
                <w:webHidden/>
              </w:rPr>
              <w:fldChar w:fldCharType="end"/>
            </w:r>
          </w:hyperlink>
        </w:p>
        <w:p w14:paraId="165F8EC3" w14:textId="095125DC" w:rsidR="00911A1E" w:rsidRDefault="00911A1E">
          <w:pPr>
            <w:pStyle w:val="TOC1"/>
            <w:tabs>
              <w:tab w:val="right" w:leader="dot" w:pos="9016"/>
            </w:tabs>
            <w:rPr>
              <w:rFonts w:eastAsiaTheme="minorEastAsia"/>
              <w:noProof/>
              <w:lang w:eastAsia="en-AU"/>
            </w:rPr>
          </w:pPr>
          <w:hyperlink w:anchor="_Toc243660167" w:history="1">
            <w:r w:rsidRPr="003F2A46">
              <w:rPr>
                <w:rStyle w:val="Hyperlink"/>
                <w:noProof/>
              </w:rPr>
              <w:t>Conclusion</w:t>
            </w:r>
            <w:r>
              <w:rPr>
                <w:noProof/>
                <w:webHidden/>
              </w:rPr>
              <w:tab/>
            </w:r>
            <w:r>
              <w:rPr>
                <w:noProof/>
                <w:webHidden/>
              </w:rPr>
              <w:fldChar w:fldCharType="begin"/>
            </w:r>
            <w:r>
              <w:rPr>
                <w:noProof/>
                <w:webHidden/>
              </w:rPr>
              <w:instrText xml:space="preserve"> PAGEREF _Toc243660167 \h </w:instrText>
            </w:r>
            <w:r>
              <w:rPr>
                <w:noProof/>
                <w:webHidden/>
              </w:rPr>
            </w:r>
            <w:r>
              <w:rPr>
                <w:noProof/>
                <w:webHidden/>
              </w:rPr>
              <w:fldChar w:fldCharType="separate"/>
            </w:r>
            <w:r w:rsidR="005E2ADD">
              <w:rPr>
                <w:noProof/>
                <w:webHidden/>
              </w:rPr>
              <w:t>35</w:t>
            </w:r>
            <w:r>
              <w:rPr>
                <w:noProof/>
                <w:webHidden/>
              </w:rPr>
              <w:fldChar w:fldCharType="end"/>
            </w:r>
          </w:hyperlink>
        </w:p>
        <w:p w14:paraId="45D0C715" w14:textId="6AF49ABD" w:rsidR="00EA358A" w:rsidRDefault="00EA358A">
          <w:r>
            <w:rPr>
              <w:b/>
              <w:bCs/>
              <w:noProof/>
            </w:rPr>
            <w:fldChar w:fldCharType="end"/>
          </w:r>
        </w:p>
      </w:sdtContent>
    </w:sdt>
    <w:p w14:paraId="7BF5DCC4" w14:textId="77777777" w:rsidR="00EA358A" w:rsidRDefault="00EA358A" w:rsidP="00EA358A"/>
    <w:p w14:paraId="1824928E" w14:textId="77777777" w:rsidR="00EA358A" w:rsidRDefault="00EA358A" w:rsidP="00EA358A"/>
    <w:p w14:paraId="65E79470" w14:textId="77777777" w:rsidR="00EA358A" w:rsidRDefault="00EA358A" w:rsidP="00EA358A"/>
    <w:p w14:paraId="43F96457" w14:textId="77777777" w:rsidR="00EA358A" w:rsidRDefault="00EA358A" w:rsidP="00EA358A"/>
    <w:tbl>
      <w:tblPr>
        <w:tblStyle w:val="TableGrid"/>
        <w:tblW w:w="12050" w:type="dxa"/>
        <w:tblInd w:w="-1418" w:type="dxa"/>
        <w:tblLook w:val="04A0" w:firstRow="1" w:lastRow="0" w:firstColumn="1" w:lastColumn="0" w:noHBand="0" w:noVBand="1"/>
      </w:tblPr>
      <w:tblGrid>
        <w:gridCol w:w="12050"/>
      </w:tblGrid>
      <w:tr w:rsidR="00FA2BA3" w14:paraId="1568E8F5" w14:textId="77777777" w:rsidTr="00B9699E">
        <w:trPr>
          <w:trHeight w:val="14884"/>
        </w:trPr>
        <w:tc>
          <w:tcPr>
            <w:tcW w:w="12050" w:type="dxa"/>
            <w:tcBorders>
              <w:top w:val="nil"/>
              <w:left w:val="nil"/>
              <w:bottom w:val="nil"/>
              <w:right w:val="nil"/>
            </w:tcBorders>
            <w:shd w:val="clear" w:color="auto" w:fill="00538F" w:themeFill="accent1" w:themeFillShade="BF"/>
          </w:tcPr>
          <w:p w14:paraId="2E178394" w14:textId="77777777" w:rsidR="00FA2BA3" w:rsidRDefault="00FA2BA3" w:rsidP="00B9699E">
            <w:pPr>
              <w:jc w:val="both"/>
            </w:pPr>
          </w:p>
          <w:p w14:paraId="110ABEF6" w14:textId="77777777" w:rsidR="00EA358A" w:rsidRDefault="00EA358A" w:rsidP="00B9699E">
            <w:pPr>
              <w:jc w:val="both"/>
            </w:pPr>
          </w:p>
          <w:p w14:paraId="676F2338" w14:textId="77777777" w:rsidR="00EA358A" w:rsidRDefault="00EA358A" w:rsidP="00B9699E">
            <w:pPr>
              <w:jc w:val="both"/>
            </w:pPr>
          </w:p>
          <w:p w14:paraId="6F1DBFA1" w14:textId="77777777" w:rsidR="00FA2BA3" w:rsidRDefault="00FA2BA3" w:rsidP="00B9699E">
            <w:pPr>
              <w:jc w:val="both"/>
            </w:pPr>
          </w:p>
          <w:p w14:paraId="2F3AD50D" w14:textId="77777777" w:rsidR="00FA2BA3" w:rsidRDefault="00FA2BA3" w:rsidP="00B9699E">
            <w:pPr>
              <w:jc w:val="both"/>
            </w:pPr>
          </w:p>
          <w:p w14:paraId="11735C88" w14:textId="77777777" w:rsidR="00FA2BA3" w:rsidRDefault="00FA2BA3" w:rsidP="00B9699E">
            <w:pPr>
              <w:jc w:val="both"/>
            </w:pPr>
          </w:p>
          <w:p w14:paraId="615F7322" w14:textId="77777777" w:rsidR="00FA2BA3" w:rsidRDefault="00FA2BA3" w:rsidP="00B9699E">
            <w:pPr>
              <w:jc w:val="both"/>
            </w:pPr>
          </w:p>
          <w:p w14:paraId="57DB2ABE" w14:textId="77777777" w:rsidR="00FA2BA3" w:rsidRDefault="00FA2BA3" w:rsidP="00B9699E">
            <w:pPr>
              <w:jc w:val="both"/>
            </w:pPr>
          </w:p>
          <w:p w14:paraId="3A8F72AA" w14:textId="77777777" w:rsidR="00FA2BA3" w:rsidRDefault="00FA2BA3" w:rsidP="00B9699E">
            <w:pPr>
              <w:jc w:val="both"/>
            </w:pPr>
          </w:p>
          <w:p w14:paraId="17ADEDF2" w14:textId="77777777" w:rsidR="00FA2BA3" w:rsidRDefault="00FA2BA3" w:rsidP="00B9699E">
            <w:pPr>
              <w:jc w:val="both"/>
            </w:pPr>
          </w:p>
          <w:p w14:paraId="1733AEAB" w14:textId="77777777" w:rsidR="00FA2BA3" w:rsidRDefault="00FA2BA3" w:rsidP="00B9699E">
            <w:pPr>
              <w:jc w:val="both"/>
            </w:pPr>
          </w:p>
          <w:p w14:paraId="5D4857C4" w14:textId="77777777" w:rsidR="00FA2BA3" w:rsidRDefault="00FA2BA3" w:rsidP="00B9699E">
            <w:pPr>
              <w:jc w:val="both"/>
            </w:pPr>
          </w:p>
          <w:p w14:paraId="4D163957" w14:textId="77777777" w:rsidR="00FA2BA3" w:rsidRDefault="00FA2BA3" w:rsidP="00B9699E">
            <w:pPr>
              <w:jc w:val="both"/>
            </w:pPr>
          </w:p>
          <w:p w14:paraId="410F9B77" w14:textId="77777777" w:rsidR="00FA2BA3" w:rsidRDefault="00FA2BA3" w:rsidP="00B9699E">
            <w:pPr>
              <w:jc w:val="both"/>
            </w:pPr>
          </w:p>
          <w:p w14:paraId="7C4C6AFA" w14:textId="77777777" w:rsidR="00FA2BA3" w:rsidRDefault="00FA2BA3" w:rsidP="00B9699E">
            <w:pPr>
              <w:jc w:val="both"/>
            </w:pPr>
          </w:p>
          <w:p w14:paraId="13C0FC2C" w14:textId="77777777" w:rsidR="00FA2BA3" w:rsidRPr="002915D1" w:rsidRDefault="00FA2BA3" w:rsidP="00B9699E">
            <w:pPr>
              <w:jc w:val="both"/>
              <w:rPr>
                <w:b/>
                <w:bCs/>
                <w:color w:val="FFFFFF" w:themeColor="background1"/>
                <w:sz w:val="72"/>
                <w:szCs w:val="72"/>
              </w:rPr>
            </w:pPr>
          </w:p>
          <w:p w14:paraId="4F9532E0" w14:textId="59AF82E1" w:rsidR="00FA2BA3" w:rsidRPr="002915D1" w:rsidRDefault="00FA2BA3" w:rsidP="002915D1">
            <w:pPr>
              <w:pStyle w:val="Heading1"/>
              <w:ind w:left="1440"/>
              <w:rPr>
                <w:b/>
                <w:bCs/>
                <w:color w:val="FFFFFF" w:themeColor="background1"/>
                <w:sz w:val="72"/>
                <w:szCs w:val="72"/>
              </w:rPr>
            </w:pPr>
            <w:bookmarkStart w:id="5" w:name="_Toc243660148"/>
            <w:r w:rsidRPr="002915D1">
              <w:rPr>
                <w:b/>
                <w:bCs/>
                <w:color w:val="FFFFFF" w:themeColor="background1"/>
                <w:sz w:val="72"/>
                <w:szCs w:val="72"/>
              </w:rPr>
              <w:t>Part 1: Unpacking w</w:t>
            </w:r>
            <w:r w:rsidR="004565BC" w:rsidRPr="002915D1">
              <w:rPr>
                <w:b/>
                <w:bCs/>
                <w:color w:val="FFFFFF" w:themeColor="background1"/>
                <w:sz w:val="72"/>
                <w:szCs w:val="72"/>
              </w:rPr>
              <w:t>hat this all means</w:t>
            </w:r>
            <w:bookmarkEnd w:id="5"/>
          </w:p>
          <w:p w14:paraId="42C20B81" w14:textId="77777777" w:rsidR="00FA2BA3" w:rsidRDefault="00FA2BA3" w:rsidP="00B9699E">
            <w:pPr>
              <w:jc w:val="both"/>
            </w:pPr>
          </w:p>
          <w:p w14:paraId="1E821FED" w14:textId="77777777" w:rsidR="00FA2BA3" w:rsidRDefault="00FA2BA3" w:rsidP="00B9699E">
            <w:pPr>
              <w:jc w:val="both"/>
            </w:pPr>
          </w:p>
          <w:p w14:paraId="4D08C69B" w14:textId="77777777" w:rsidR="00FA2BA3" w:rsidRDefault="00FA2BA3" w:rsidP="00B9699E">
            <w:pPr>
              <w:jc w:val="both"/>
            </w:pPr>
          </w:p>
          <w:p w14:paraId="0076DD1F" w14:textId="77777777" w:rsidR="00FA2BA3" w:rsidRDefault="00FA2BA3" w:rsidP="00B9699E">
            <w:pPr>
              <w:jc w:val="both"/>
            </w:pPr>
          </w:p>
          <w:p w14:paraId="02595FFD" w14:textId="77777777" w:rsidR="00FA2BA3" w:rsidRDefault="00FA2BA3" w:rsidP="00B9699E">
            <w:pPr>
              <w:jc w:val="both"/>
            </w:pPr>
          </w:p>
          <w:p w14:paraId="32AB5832" w14:textId="77777777" w:rsidR="00FA2BA3" w:rsidRDefault="00FA2BA3" w:rsidP="00B9699E">
            <w:pPr>
              <w:jc w:val="both"/>
            </w:pPr>
          </w:p>
          <w:p w14:paraId="633293E0" w14:textId="77777777" w:rsidR="00FA2BA3" w:rsidRDefault="00FA2BA3" w:rsidP="00B9699E">
            <w:pPr>
              <w:jc w:val="both"/>
            </w:pPr>
          </w:p>
          <w:p w14:paraId="47663EC1" w14:textId="77777777" w:rsidR="00FA2BA3" w:rsidRDefault="00FA2BA3" w:rsidP="00B9699E">
            <w:pPr>
              <w:jc w:val="both"/>
            </w:pPr>
          </w:p>
          <w:p w14:paraId="779D78D9" w14:textId="77777777" w:rsidR="00FA2BA3" w:rsidRDefault="00FA2BA3" w:rsidP="00B9699E">
            <w:pPr>
              <w:jc w:val="both"/>
            </w:pPr>
          </w:p>
          <w:p w14:paraId="6DEA5289" w14:textId="77777777" w:rsidR="00FA2BA3" w:rsidRDefault="00FA2BA3" w:rsidP="00B9699E">
            <w:pPr>
              <w:jc w:val="both"/>
            </w:pPr>
          </w:p>
          <w:p w14:paraId="67312EC2" w14:textId="77777777" w:rsidR="00FA2BA3" w:rsidRDefault="00FA2BA3" w:rsidP="00B9699E">
            <w:pPr>
              <w:jc w:val="both"/>
            </w:pPr>
          </w:p>
          <w:p w14:paraId="5B1F55E1" w14:textId="77777777" w:rsidR="00FA2BA3" w:rsidRDefault="00FA2BA3" w:rsidP="00B9699E">
            <w:pPr>
              <w:jc w:val="both"/>
            </w:pPr>
          </w:p>
          <w:p w14:paraId="7D2AC6B8" w14:textId="77777777" w:rsidR="00FA2BA3" w:rsidRDefault="00FA2BA3" w:rsidP="00B9699E">
            <w:pPr>
              <w:jc w:val="both"/>
            </w:pPr>
          </w:p>
          <w:p w14:paraId="11D7ACE7" w14:textId="77777777" w:rsidR="00FA2BA3" w:rsidRDefault="00FA2BA3" w:rsidP="00B9699E">
            <w:pPr>
              <w:jc w:val="both"/>
            </w:pPr>
          </w:p>
          <w:p w14:paraId="120BE8B6" w14:textId="77777777" w:rsidR="00FA2BA3" w:rsidRDefault="00FA2BA3" w:rsidP="00B9699E">
            <w:pPr>
              <w:jc w:val="both"/>
            </w:pPr>
          </w:p>
          <w:p w14:paraId="75F26DDF" w14:textId="77777777" w:rsidR="00FA2BA3" w:rsidRDefault="00FA2BA3" w:rsidP="00B9699E">
            <w:pPr>
              <w:jc w:val="both"/>
            </w:pPr>
          </w:p>
          <w:p w14:paraId="43C7B037" w14:textId="77777777" w:rsidR="00FA2BA3" w:rsidRDefault="00FA2BA3" w:rsidP="00B9699E">
            <w:pPr>
              <w:jc w:val="both"/>
            </w:pPr>
          </w:p>
          <w:p w14:paraId="08B0CCB0" w14:textId="77777777" w:rsidR="00FA2BA3" w:rsidRDefault="00FA2BA3" w:rsidP="00B9699E">
            <w:pPr>
              <w:jc w:val="both"/>
            </w:pPr>
          </w:p>
          <w:p w14:paraId="53337FAE" w14:textId="77777777" w:rsidR="00FA2BA3" w:rsidRDefault="00FA2BA3" w:rsidP="00B9699E">
            <w:pPr>
              <w:jc w:val="both"/>
            </w:pPr>
          </w:p>
          <w:p w14:paraId="572E2FE5" w14:textId="77777777" w:rsidR="00FA2BA3" w:rsidRDefault="00FA2BA3" w:rsidP="00B9699E">
            <w:pPr>
              <w:jc w:val="both"/>
            </w:pPr>
          </w:p>
          <w:p w14:paraId="191E03DB" w14:textId="77777777" w:rsidR="00FA2BA3" w:rsidRDefault="00FA2BA3" w:rsidP="00B9699E">
            <w:pPr>
              <w:jc w:val="both"/>
            </w:pPr>
          </w:p>
          <w:p w14:paraId="51A3D681" w14:textId="77777777" w:rsidR="00FA2BA3" w:rsidRDefault="00FA2BA3" w:rsidP="00B9699E">
            <w:pPr>
              <w:jc w:val="both"/>
            </w:pPr>
          </w:p>
        </w:tc>
      </w:tr>
    </w:tbl>
    <w:p w14:paraId="56943445" w14:textId="7E838CFA" w:rsidR="00891C99" w:rsidRPr="00891C99" w:rsidRDefault="00891C99" w:rsidP="003B1A97">
      <w:pPr>
        <w:pStyle w:val="Heading1"/>
      </w:pPr>
      <w:bookmarkStart w:id="6" w:name="_Toc243660149"/>
      <w:r>
        <w:t xml:space="preserve">Identifying the effect of the </w:t>
      </w:r>
      <w:r w:rsidR="008030AB">
        <w:t>D</w:t>
      </w:r>
      <w:r>
        <w:t xml:space="preserve">raft </w:t>
      </w:r>
      <w:r w:rsidR="008030AB">
        <w:t>D</w:t>
      </w:r>
      <w:r>
        <w:t>etermination on SDLs</w:t>
      </w:r>
      <w:bookmarkEnd w:id="6"/>
    </w:p>
    <w:p w14:paraId="27C5428E" w14:textId="6F1F092B" w:rsidR="003A5F62" w:rsidRDefault="00891C99" w:rsidP="00C74BED">
      <w:pPr>
        <w:jc w:val="both"/>
      </w:pPr>
      <w:r>
        <w:t>SDLs are calculated based on the following formula:</w:t>
      </w:r>
    </w:p>
    <w:p w14:paraId="48E59BF7" w14:textId="415BF44B" w:rsidR="0096673C" w:rsidRPr="00EA0550" w:rsidRDefault="0096673C" w:rsidP="00EA0550">
      <w:pPr>
        <w:jc w:val="center"/>
        <w:rPr>
          <w:i/>
          <w:iCs/>
          <w:color w:val="404040" w:themeColor="text1" w:themeTint="BF"/>
        </w:rPr>
      </w:pPr>
      <w:r w:rsidRPr="0096673C">
        <w:rPr>
          <w:rStyle w:val="SubtleEmphasis"/>
        </w:rPr>
        <w:t xml:space="preserve">Sustainable Diversion Limit (SDL) = Baseline Diversion Limit (BDL) </w:t>
      </w:r>
      <w:r w:rsidR="00B535EC" w:rsidRPr="0096673C">
        <w:rPr>
          <w:rStyle w:val="SubtleEmphasis"/>
        </w:rPr>
        <w:t>– Water</w:t>
      </w:r>
      <w:r w:rsidRPr="0096673C">
        <w:rPr>
          <w:rStyle w:val="SubtleEmphasis"/>
        </w:rPr>
        <w:t xml:space="preserve"> </w:t>
      </w:r>
      <w:r w:rsidR="00EA0550">
        <w:rPr>
          <w:rStyle w:val="SubtleEmphasis"/>
        </w:rPr>
        <w:t>R</w:t>
      </w:r>
      <w:r w:rsidRPr="0096673C">
        <w:rPr>
          <w:rStyle w:val="SubtleEmphasis"/>
        </w:rPr>
        <w:t xml:space="preserve">ecovery (local &amp; shared) </w:t>
      </w:r>
      <w:r w:rsidRPr="00EA0550">
        <w:rPr>
          <w:rStyle w:val="SubtleEmphasis"/>
          <w:b/>
          <w:bCs/>
        </w:rPr>
        <w:t>+ SDL adjustment</w:t>
      </w:r>
    </w:p>
    <w:p w14:paraId="30177BAA" w14:textId="42DBC467" w:rsidR="00891C99" w:rsidRDefault="0085716B" w:rsidP="00C74BED">
      <w:pPr>
        <w:jc w:val="both"/>
      </w:pPr>
      <w:r>
        <w:t xml:space="preserve">The </w:t>
      </w:r>
      <w:r w:rsidRPr="001A2946">
        <w:rPr>
          <w:i/>
          <w:iCs/>
        </w:rPr>
        <w:t>SDL adjustment</w:t>
      </w:r>
      <w:r>
        <w:t xml:space="preserve"> component of this, is calculated based on the following:</w:t>
      </w:r>
    </w:p>
    <w:p w14:paraId="63BF4CCF" w14:textId="719F6225" w:rsidR="0085716B" w:rsidRDefault="0085716B" w:rsidP="00C74BED">
      <w:pPr>
        <w:jc w:val="both"/>
      </w:pPr>
      <w:r>
        <w:t xml:space="preserve">Figure 1: Calculation of Final SDL Adjustment </w:t>
      </w:r>
      <w:r w:rsidR="00EE0010">
        <w:t>for Reconciliation (source</w:t>
      </w:r>
      <w:r w:rsidR="00403D65">
        <w:t xml:space="preserve"> </w:t>
      </w:r>
      <w:r w:rsidR="00EE0010">
        <w:t>MDBA)</w:t>
      </w:r>
    </w:p>
    <w:p w14:paraId="0E6CB4E9" w14:textId="4D803051" w:rsidR="00261E78" w:rsidRDefault="00EA0550" w:rsidP="00403D65">
      <w:pPr>
        <w:jc w:val="center"/>
      </w:pPr>
      <w:r w:rsidRPr="00EA0550">
        <w:rPr>
          <w:noProof/>
        </w:rPr>
        <w:drawing>
          <wp:inline distT="0" distB="0" distL="0" distR="0" wp14:anchorId="3A0857FA" wp14:editId="23A93028">
            <wp:extent cx="3871433" cy="2055386"/>
            <wp:effectExtent l="0" t="0" r="0" b="2540"/>
            <wp:docPr id="9" name="Picture 8">
              <a:extLst xmlns:a="http://schemas.openxmlformats.org/drawingml/2006/main">
                <a:ext uri="{FF2B5EF4-FFF2-40B4-BE49-F238E27FC236}">
                  <a16:creationId xmlns:a16="http://schemas.microsoft.com/office/drawing/2014/main" id="{DB9EC3B2-CE9F-48E2-879E-6BA6CF1CF4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DB9EC3B2-CE9F-48E2-879E-6BA6CF1CF43D}"/>
                        </a:ext>
                      </a:extLst>
                    </pic:cNvPr>
                    <pic:cNvPicPr>
                      <a:picLocks noChangeAspect="1"/>
                    </pic:cNvPicPr>
                  </pic:nvPicPr>
                  <pic:blipFill>
                    <a:blip r:embed="rId13"/>
                    <a:stretch>
                      <a:fillRect/>
                    </a:stretch>
                  </pic:blipFill>
                  <pic:spPr>
                    <a:xfrm>
                      <a:off x="0" y="0"/>
                      <a:ext cx="3931867" cy="2087471"/>
                    </a:xfrm>
                    <a:prstGeom prst="rect">
                      <a:avLst/>
                    </a:prstGeom>
                  </pic:spPr>
                </pic:pic>
              </a:graphicData>
            </a:graphic>
          </wp:inline>
        </w:drawing>
      </w:r>
    </w:p>
    <w:p w14:paraId="41DC2F6B" w14:textId="2EB8AD68" w:rsidR="00261E78" w:rsidRDefault="00261E78" w:rsidP="00261E78">
      <w:pPr>
        <w:pStyle w:val="Heading2"/>
      </w:pPr>
      <w:bookmarkStart w:id="7" w:name="_Toc243660150"/>
      <w:r>
        <w:t>Scenario analysis</w:t>
      </w:r>
      <w:bookmarkEnd w:id="7"/>
    </w:p>
    <w:p w14:paraId="6B600455" w14:textId="532F1105" w:rsidR="00261E78" w:rsidRDefault="00261E78" w:rsidP="00097466">
      <w:pPr>
        <w:jc w:val="both"/>
      </w:pPr>
      <w:r>
        <w:t xml:space="preserve">For this submission, we consider four scenarios </w:t>
      </w:r>
      <w:r w:rsidR="00B257E2">
        <w:t xml:space="preserve">of the final SDL adjustment, based on various contributions of supply measures and </w:t>
      </w:r>
      <w:r w:rsidR="008244EC">
        <w:t>additional HEW</w:t>
      </w:r>
      <w:r w:rsidR="00E35EFD">
        <w:t xml:space="preserve"> recovery. </w:t>
      </w:r>
      <w:r w:rsidR="00905D62">
        <w:t>These scenarios are</w:t>
      </w:r>
      <w:r w:rsidR="008244EC">
        <w:t xml:space="preserve"> outlined for explanation purposes, acknowledging the </w:t>
      </w:r>
      <w:proofErr w:type="gramStart"/>
      <w:r w:rsidR="008244EC">
        <w:t>final outcome</w:t>
      </w:r>
      <w:proofErr w:type="gramEnd"/>
      <w:r w:rsidR="008244EC">
        <w:t xml:space="preserve"> may be somewhere between these scenarios.  </w:t>
      </w:r>
    </w:p>
    <w:p w14:paraId="18BE98A2" w14:textId="52E41530" w:rsidR="00E35EFD" w:rsidRDefault="00E35EFD" w:rsidP="00261E78">
      <w:r>
        <w:t>Table 1 below shows this scenario analysis, as explored in detail below.</w:t>
      </w:r>
    </w:p>
    <w:p w14:paraId="6DA47FDD" w14:textId="6F235AFF" w:rsidR="00261E78" w:rsidRPr="00914607" w:rsidRDefault="00E35EFD" w:rsidP="00E35EFD">
      <w:pPr>
        <w:rPr>
          <w:i/>
          <w:iCs/>
          <w:color w:val="808080" w:themeColor="background1" w:themeShade="80"/>
        </w:rPr>
      </w:pPr>
      <w:r w:rsidRPr="00914607">
        <w:rPr>
          <w:i/>
          <w:iCs/>
          <w:color w:val="808080" w:themeColor="background1" w:themeShade="80"/>
        </w:rPr>
        <w:t xml:space="preserve">Table 1: </w:t>
      </w:r>
      <w:r w:rsidR="00FF1095" w:rsidRPr="00914607">
        <w:rPr>
          <w:i/>
          <w:iCs/>
          <w:color w:val="808080" w:themeColor="background1" w:themeShade="80"/>
        </w:rPr>
        <w:t xml:space="preserve">NIC </w:t>
      </w:r>
      <w:r w:rsidRPr="00914607">
        <w:rPr>
          <w:i/>
          <w:iCs/>
          <w:color w:val="808080" w:themeColor="background1" w:themeShade="80"/>
        </w:rPr>
        <w:t xml:space="preserve">Scenario analysis of Final SDL adjustments </w:t>
      </w:r>
      <w:r w:rsidR="006D0E52" w:rsidRPr="00914607">
        <w:rPr>
          <w:i/>
          <w:iCs/>
          <w:color w:val="808080" w:themeColor="background1" w:themeShade="80"/>
        </w:rPr>
        <w:t xml:space="preserve">from various supply and 450 GL contributions </w:t>
      </w:r>
    </w:p>
    <w:tbl>
      <w:tblPr>
        <w:tblStyle w:val="TableGrid"/>
        <w:tblW w:w="8784" w:type="dxa"/>
        <w:tblLook w:val="04A0" w:firstRow="1" w:lastRow="0" w:firstColumn="1" w:lastColumn="0" w:noHBand="0" w:noVBand="1"/>
      </w:tblPr>
      <w:tblGrid>
        <w:gridCol w:w="1890"/>
        <w:gridCol w:w="1439"/>
        <w:gridCol w:w="1082"/>
        <w:gridCol w:w="1536"/>
        <w:gridCol w:w="950"/>
        <w:gridCol w:w="1887"/>
      </w:tblGrid>
      <w:tr w:rsidR="00261E78" w14:paraId="135F43A3" w14:textId="77777777" w:rsidTr="00055A46">
        <w:trPr>
          <w:trHeight w:val="300"/>
        </w:trPr>
        <w:tc>
          <w:tcPr>
            <w:tcW w:w="8784" w:type="dxa"/>
            <w:gridSpan w:val="6"/>
          </w:tcPr>
          <w:p w14:paraId="7DADE60C" w14:textId="77777777" w:rsidR="00261E78" w:rsidRDefault="00261E78">
            <w:r>
              <w:t xml:space="preserve">                        </w:t>
            </w:r>
            <w:r w:rsidRPr="00EA0550">
              <w:rPr>
                <w:noProof/>
              </w:rPr>
              <w:drawing>
                <wp:inline distT="0" distB="0" distL="0" distR="0" wp14:anchorId="47024595" wp14:editId="3D344ABB">
                  <wp:extent cx="4517512" cy="1526525"/>
                  <wp:effectExtent l="0" t="0" r="0" b="0"/>
                  <wp:docPr id="290392637" name="Picture 8">
                    <a:extLst xmlns:a="http://schemas.openxmlformats.org/drawingml/2006/main">
                      <a:ext uri="{FF2B5EF4-FFF2-40B4-BE49-F238E27FC236}">
                        <a16:creationId xmlns:a16="http://schemas.microsoft.com/office/drawing/2014/main" id="{DB9EC3B2-CE9F-48E2-879E-6BA6CF1CF4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DB9EC3B2-CE9F-48E2-879E-6BA6CF1CF43D}"/>
                              </a:ext>
                            </a:extLst>
                          </pic:cNvPr>
                          <pic:cNvPicPr>
                            <a:picLocks noChangeAspect="1"/>
                          </pic:cNvPicPr>
                        </pic:nvPicPr>
                        <pic:blipFill rotWithShape="1">
                          <a:blip r:embed="rId13"/>
                          <a:srcRect t="36352"/>
                          <a:stretch>
                            <a:fillRect/>
                          </a:stretch>
                        </pic:blipFill>
                        <pic:spPr bwMode="auto">
                          <a:xfrm>
                            <a:off x="0" y="0"/>
                            <a:ext cx="4526579" cy="1529589"/>
                          </a:xfrm>
                          <a:prstGeom prst="rect">
                            <a:avLst/>
                          </a:prstGeom>
                          <a:ln>
                            <a:noFill/>
                          </a:ln>
                          <a:extLst>
                            <a:ext uri="{53640926-AAD7-44D8-BBD7-CCE9431645EC}">
                              <a14:shadowObscured xmlns:a14="http://schemas.microsoft.com/office/drawing/2010/main"/>
                            </a:ext>
                          </a:extLst>
                        </pic:spPr>
                      </pic:pic>
                    </a:graphicData>
                  </a:graphic>
                </wp:inline>
              </w:drawing>
            </w:r>
          </w:p>
        </w:tc>
      </w:tr>
      <w:tr w:rsidR="00261E78" w14:paraId="367E156A" w14:textId="77777777" w:rsidTr="00055A46">
        <w:trPr>
          <w:trHeight w:val="300"/>
        </w:trPr>
        <w:tc>
          <w:tcPr>
            <w:tcW w:w="1890" w:type="dxa"/>
            <w:shd w:val="clear" w:color="auto" w:fill="F2F2F2" w:themeFill="background1" w:themeFillShade="F2"/>
          </w:tcPr>
          <w:p w14:paraId="48B27FA2" w14:textId="77777777" w:rsidR="00261E78" w:rsidRPr="00D0796B" w:rsidRDefault="00261E78">
            <w:pPr>
              <w:rPr>
                <w:b/>
                <w:bCs/>
              </w:rPr>
            </w:pPr>
            <w:r w:rsidRPr="00D0796B">
              <w:rPr>
                <w:b/>
                <w:bCs/>
              </w:rPr>
              <w:t>Best case scenario</w:t>
            </w:r>
          </w:p>
        </w:tc>
        <w:tc>
          <w:tcPr>
            <w:tcW w:w="1439" w:type="dxa"/>
            <w:shd w:val="clear" w:color="auto" w:fill="D4E2FF" w:themeFill="accent2" w:themeFillTint="1A"/>
          </w:tcPr>
          <w:p w14:paraId="02D74545" w14:textId="77777777" w:rsidR="00261E78" w:rsidRDefault="00261E78">
            <w:r>
              <w:t>605 GL</w:t>
            </w:r>
          </w:p>
        </w:tc>
        <w:tc>
          <w:tcPr>
            <w:tcW w:w="1082" w:type="dxa"/>
            <w:shd w:val="clear" w:color="auto" w:fill="F2F2F2" w:themeFill="background1" w:themeFillShade="F2"/>
          </w:tcPr>
          <w:p w14:paraId="17890C42" w14:textId="77777777" w:rsidR="00261E78" w:rsidRDefault="00261E78">
            <w:pPr>
              <w:jc w:val="center"/>
            </w:pPr>
            <w:r>
              <w:t>-</w:t>
            </w:r>
          </w:p>
        </w:tc>
        <w:tc>
          <w:tcPr>
            <w:tcW w:w="1536" w:type="dxa"/>
            <w:shd w:val="clear" w:color="auto" w:fill="37A76F" w:themeFill="accent3"/>
          </w:tcPr>
          <w:p w14:paraId="7FA80F8D" w14:textId="77777777" w:rsidR="00261E78" w:rsidRDefault="00261E78">
            <w:r>
              <w:t>62 GL</w:t>
            </w:r>
          </w:p>
        </w:tc>
        <w:tc>
          <w:tcPr>
            <w:tcW w:w="950" w:type="dxa"/>
            <w:shd w:val="clear" w:color="auto" w:fill="F2F2F2" w:themeFill="background1" w:themeFillShade="F2"/>
          </w:tcPr>
          <w:p w14:paraId="6D698151" w14:textId="77777777" w:rsidR="00261E78" w:rsidRDefault="00261E78">
            <w:pPr>
              <w:jc w:val="center"/>
            </w:pPr>
            <w:r>
              <w:t>=</w:t>
            </w:r>
          </w:p>
        </w:tc>
        <w:tc>
          <w:tcPr>
            <w:tcW w:w="1887" w:type="dxa"/>
            <w:shd w:val="clear" w:color="auto" w:fill="002B82" w:themeFill="accent6"/>
          </w:tcPr>
          <w:p w14:paraId="0392EC40" w14:textId="77777777" w:rsidR="00261E78" w:rsidRPr="00862091" w:rsidRDefault="00261E78">
            <w:pPr>
              <w:rPr>
                <w:b/>
                <w:bCs/>
              </w:rPr>
            </w:pPr>
            <w:r w:rsidRPr="00862091">
              <w:rPr>
                <w:b/>
                <w:bCs/>
              </w:rPr>
              <w:t>543 GL</w:t>
            </w:r>
          </w:p>
        </w:tc>
      </w:tr>
      <w:tr w:rsidR="00261E78" w14:paraId="555A8597" w14:textId="77777777" w:rsidTr="00055A46">
        <w:trPr>
          <w:trHeight w:val="300"/>
        </w:trPr>
        <w:tc>
          <w:tcPr>
            <w:tcW w:w="1890" w:type="dxa"/>
            <w:shd w:val="clear" w:color="auto" w:fill="F2F2F2" w:themeFill="background1" w:themeFillShade="F2"/>
          </w:tcPr>
          <w:p w14:paraId="1E0845E6" w14:textId="77777777" w:rsidR="00261E78" w:rsidRPr="00D0796B" w:rsidRDefault="00261E78">
            <w:pPr>
              <w:rPr>
                <w:b/>
                <w:bCs/>
              </w:rPr>
            </w:pPr>
            <w:r w:rsidRPr="00557854">
              <w:rPr>
                <w:b/>
                <w:bCs/>
              </w:rPr>
              <w:t>2026 Draft Determination</w:t>
            </w:r>
          </w:p>
        </w:tc>
        <w:tc>
          <w:tcPr>
            <w:tcW w:w="1439" w:type="dxa"/>
            <w:shd w:val="clear" w:color="auto" w:fill="D4E2FF" w:themeFill="accent2" w:themeFillTint="1A"/>
          </w:tcPr>
          <w:p w14:paraId="3E6E397C" w14:textId="77777777" w:rsidR="00261E78" w:rsidRDefault="00261E78">
            <w:r>
              <w:t>340 GL</w:t>
            </w:r>
          </w:p>
        </w:tc>
        <w:tc>
          <w:tcPr>
            <w:tcW w:w="1082" w:type="dxa"/>
            <w:shd w:val="clear" w:color="auto" w:fill="F2F2F2" w:themeFill="background1" w:themeFillShade="F2"/>
          </w:tcPr>
          <w:p w14:paraId="25A014FA" w14:textId="77777777" w:rsidR="00261E78" w:rsidRDefault="00261E78">
            <w:pPr>
              <w:jc w:val="center"/>
            </w:pPr>
            <w:r>
              <w:t>-</w:t>
            </w:r>
          </w:p>
        </w:tc>
        <w:tc>
          <w:tcPr>
            <w:tcW w:w="1536" w:type="dxa"/>
            <w:shd w:val="clear" w:color="auto" w:fill="37A76F" w:themeFill="accent3"/>
          </w:tcPr>
          <w:p w14:paraId="095186E0" w14:textId="77777777" w:rsidR="00261E78" w:rsidRDefault="00261E78">
            <w:r>
              <w:t>221.2 GL</w:t>
            </w:r>
          </w:p>
        </w:tc>
        <w:tc>
          <w:tcPr>
            <w:tcW w:w="950" w:type="dxa"/>
            <w:shd w:val="clear" w:color="auto" w:fill="F2F2F2" w:themeFill="background1" w:themeFillShade="F2"/>
          </w:tcPr>
          <w:p w14:paraId="17B000DD" w14:textId="77777777" w:rsidR="00261E78" w:rsidRDefault="00261E78">
            <w:pPr>
              <w:jc w:val="center"/>
            </w:pPr>
            <w:r>
              <w:t>=</w:t>
            </w:r>
          </w:p>
        </w:tc>
        <w:tc>
          <w:tcPr>
            <w:tcW w:w="1887" w:type="dxa"/>
            <w:shd w:val="clear" w:color="auto" w:fill="002B82" w:themeFill="accent6"/>
          </w:tcPr>
          <w:p w14:paraId="561DEEAF" w14:textId="77777777" w:rsidR="00261E78" w:rsidRPr="00862091" w:rsidRDefault="00261E78">
            <w:pPr>
              <w:rPr>
                <w:b/>
                <w:bCs/>
              </w:rPr>
            </w:pPr>
            <w:r w:rsidRPr="00862091">
              <w:rPr>
                <w:b/>
                <w:bCs/>
              </w:rPr>
              <w:t>118.8 GL</w:t>
            </w:r>
          </w:p>
        </w:tc>
      </w:tr>
      <w:tr w:rsidR="00261E78" w14:paraId="05A5B607" w14:textId="77777777" w:rsidTr="00055A46">
        <w:trPr>
          <w:trHeight w:val="300"/>
        </w:trPr>
        <w:tc>
          <w:tcPr>
            <w:tcW w:w="1890" w:type="dxa"/>
            <w:shd w:val="clear" w:color="auto" w:fill="F2F2F2" w:themeFill="background1" w:themeFillShade="F2"/>
          </w:tcPr>
          <w:p w14:paraId="0CC3DFC7" w14:textId="77777777" w:rsidR="00261E78" w:rsidRPr="00557854" w:rsidRDefault="00261E78">
            <w:pPr>
              <w:rPr>
                <w:b/>
                <w:bCs/>
              </w:rPr>
            </w:pPr>
            <w:r>
              <w:rPr>
                <w:b/>
                <w:bCs/>
              </w:rPr>
              <w:t>Potential scenario 1</w:t>
            </w:r>
          </w:p>
        </w:tc>
        <w:tc>
          <w:tcPr>
            <w:tcW w:w="1439" w:type="dxa"/>
            <w:shd w:val="clear" w:color="auto" w:fill="D4E2FF" w:themeFill="accent2" w:themeFillTint="1A"/>
          </w:tcPr>
          <w:p w14:paraId="516C9AAD" w14:textId="77777777" w:rsidR="00261E78" w:rsidRDefault="00261E78">
            <w:r>
              <w:t>340 GL</w:t>
            </w:r>
          </w:p>
        </w:tc>
        <w:tc>
          <w:tcPr>
            <w:tcW w:w="1082" w:type="dxa"/>
            <w:shd w:val="clear" w:color="auto" w:fill="F2F2F2" w:themeFill="background1" w:themeFillShade="F2"/>
          </w:tcPr>
          <w:p w14:paraId="4E76C054" w14:textId="77777777" w:rsidR="00261E78" w:rsidRDefault="00261E78">
            <w:pPr>
              <w:jc w:val="center"/>
            </w:pPr>
            <w:r>
              <w:t>-</w:t>
            </w:r>
          </w:p>
        </w:tc>
        <w:tc>
          <w:tcPr>
            <w:tcW w:w="1536" w:type="dxa"/>
            <w:shd w:val="clear" w:color="auto" w:fill="37A76F" w:themeFill="accent3"/>
          </w:tcPr>
          <w:p w14:paraId="3CBD3C6B" w14:textId="77777777" w:rsidR="00261E78" w:rsidRDefault="00261E78">
            <w:r>
              <w:t>380.7 GL</w:t>
            </w:r>
          </w:p>
        </w:tc>
        <w:tc>
          <w:tcPr>
            <w:tcW w:w="950" w:type="dxa"/>
            <w:shd w:val="clear" w:color="auto" w:fill="F2F2F2" w:themeFill="background1" w:themeFillShade="F2"/>
          </w:tcPr>
          <w:p w14:paraId="42C3AFE9" w14:textId="77777777" w:rsidR="00261E78" w:rsidRDefault="00261E78">
            <w:pPr>
              <w:jc w:val="center"/>
            </w:pPr>
            <w:r>
              <w:t>=</w:t>
            </w:r>
          </w:p>
        </w:tc>
        <w:tc>
          <w:tcPr>
            <w:tcW w:w="1887" w:type="dxa"/>
            <w:shd w:val="clear" w:color="auto" w:fill="002B82" w:themeFill="accent6"/>
          </w:tcPr>
          <w:p w14:paraId="68404BB8" w14:textId="77777777" w:rsidR="00261E78" w:rsidRPr="00862091" w:rsidRDefault="00261E78">
            <w:pPr>
              <w:rPr>
                <w:b/>
                <w:bCs/>
              </w:rPr>
            </w:pPr>
            <w:r w:rsidRPr="00862091">
              <w:rPr>
                <w:b/>
                <w:bCs/>
              </w:rPr>
              <w:t>- 40.7 GL</w:t>
            </w:r>
          </w:p>
        </w:tc>
      </w:tr>
      <w:tr w:rsidR="00261E78" w14:paraId="45757B26" w14:textId="77777777" w:rsidTr="00055A46">
        <w:trPr>
          <w:trHeight w:val="300"/>
        </w:trPr>
        <w:tc>
          <w:tcPr>
            <w:tcW w:w="1890" w:type="dxa"/>
            <w:shd w:val="clear" w:color="auto" w:fill="F2F2F2" w:themeFill="background1" w:themeFillShade="F2"/>
          </w:tcPr>
          <w:p w14:paraId="4144D866" w14:textId="77777777" w:rsidR="00261E78" w:rsidRPr="00557854" w:rsidRDefault="00261E78">
            <w:pPr>
              <w:rPr>
                <w:b/>
                <w:bCs/>
              </w:rPr>
            </w:pPr>
            <w:r>
              <w:rPr>
                <w:b/>
                <w:bCs/>
              </w:rPr>
              <w:t>Potential scenario 2</w:t>
            </w:r>
          </w:p>
        </w:tc>
        <w:tc>
          <w:tcPr>
            <w:tcW w:w="1439" w:type="dxa"/>
            <w:shd w:val="clear" w:color="auto" w:fill="D4E2FF" w:themeFill="accent2" w:themeFillTint="1A"/>
          </w:tcPr>
          <w:p w14:paraId="092EA131" w14:textId="77777777" w:rsidR="00261E78" w:rsidRDefault="00261E78">
            <w:r>
              <w:t>340 GL</w:t>
            </w:r>
          </w:p>
        </w:tc>
        <w:tc>
          <w:tcPr>
            <w:tcW w:w="1082" w:type="dxa"/>
            <w:shd w:val="clear" w:color="auto" w:fill="F2F2F2" w:themeFill="background1" w:themeFillShade="F2"/>
          </w:tcPr>
          <w:p w14:paraId="5CEA8A00" w14:textId="77777777" w:rsidR="00261E78" w:rsidRDefault="00261E78">
            <w:pPr>
              <w:jc w:val="center"/>
            </w:pPr>
            <w:r>
              <w:t>-</w:t>
            </w:r>
          </w:p>
        </w:tc>
        <w:tc>
          <w:tcPr>
            <w:tcW w:w="1536" w:type="dxa"/>
            <w:shd w:val="clear" w:color="auto" w:fill="37A76F" w:themeFill="accent3"/>
          </w:tcPr>
          <w:p w14:paraId="2CBCFA7E" w14:textId="77777777" w:rsidR="00261E78" w:rsidRDefault="00261E78">
            <w:r>
              <w:t>450 GL</w:t>
            </w:r>
          </w:p>
        </w:tc>
        <w:tc>
          <w:tcPr>
            <w:tcW w:w="950" w:type="dxa"/>
            <w:shd w:val="clear" w:color="auto" w:fill="F2F2F2" w:themeFill="background1" w:themeFillShade="F2"/>
          </w:tcPr>
          <w:p w14:paraId="68E27B1A" w14:textId="77777777" w:rsidR="00261E78" w:rsidRDefault="00261E78">
            <w:pPr>
              <w:jc w:val="center"/>
            </w:pPr>
            <w:r>
              <w:t>=</w:t>
            </w:r>
          </w:p>
        </w:tc>
        <w:tc>
          <w:tcPr>
            <w:tcW w:w="1887" w:type="dxa"/>
            <w:shd w:val="clear" w:color="auto" w:fill="002B82" w:themeFill="accent6"/>
          </w:tcPr>
          <w:p w14:paraId="539991A6" w14:textId="77777777" w:rsidR="00261E78" w:rsidRPr="00862091" w:rsidRDefault="00261E78">
            <w:pPr>
              <w:rPr>
                <w:b/>
                <w:bCs/>
              </w:rPr>
            </w:pPr>
            <w:r w:rsidRPr="00862091">
              <w:rPr>
                <w:b/>
                <w:bCs/>
              </w:rPr>
              <w:t>- 110 GL</w:t>
            </w:r>
          </w:p>
        </w:tc>
      </w:tr>
    </w:tbl>
    <w:p w14:paraId="5FBCE5FF" w14:textId="77777777" w:rsidR="00097466" w:rsidRDefault="00097466" w:rsidP="00097466">
      <w:pPr>
        <w:pStyle w:val="Heading3"/>
        <w:ind w:left="1080"/>
      </w:pPr>
    </w:p>
    <w:p w14:paraId="76637210" w14:textId="2C6953B4" w:rsidR="00EE0010" w:rsidRDefault="006D4005" w:rsidP="009A10B1">
      <w:pPr>
        <w:pStyle w:val="Heading3"/>
        <w:numPr>
          <w:ilvl w:val="0"/>
          <w:numId w:val="16"/>
        </w:numPr>
      </w:pPr>
      <w:bookmarkStart w:id="8" w:name="_Toc243660151"/>
      <w:r>
        <w:t>Best case scenario</w:t>
      </w:r>
      <w:bookmarkEnd w:id="8"/>
    </w:p>
    <w:p w14:paraId="3EA488F1" w14:textId="226ABD4B" w:rsidR="00C11F4A" w:rsidRPr="006D4005" w:rsidRDefault="006D4005" w:rsidP="006D4005">
      <w:r>
        <w:t xml:space="preserve">A </w:t>
      </w:r>
      <w:r w:rsidR="008D6A0F">
        <w:t>best-case</w:t>
      </w:r>
      <w:r>
        <w:t xml:space="preserve"> scenario under current SDLAM policy settings, would involve achieving the full 605 GL </w:t>
      </w:r>
      <w:r w:rsidR="00355BDC">
        <w:t xml:space="preserve">from supply measures </w:t>
      </w:r>
      <w:r w:rsidR="00B535EC">
        <w:t>(increase</w:t>
      </w:r>
      <w:r w:rsidR="00355BDC">
        <w:t xml:space="preserve"> the SDL</w:t>
      </w:r>
      <w:r w:rsidR="008A1694">
        <w:t>)</w:t>
      </w:r>
      <w:r w:rsidR="00355BDC">
        <w:t xml:space="preserve">, </w:t>
      </w:r>
      <w:r w:rsidR="008A1694">
        <w:t>with</w:t>
      </w:r>
      <w:r w:rsidR="00355BDC">
        <w:t xml:space="preserve"> 62 GL of </w:t>
      </w:r>
      <w:r w:rsidR="00D1414B">
        <w:t>additional HEW (or efficiency measures) towards the 450 GL, which would enable the maximum SDL adjustment of 543 GL (the maximum 5% limit of change allowed under current settings).</w:t>
      </w:r>
    </w:p>
    <w:p w14:paraId="625D9DD7" w14:textId="6D5AC221" w:rsidR="00814059" w:rsidRDefault="00814059" w:rsidP="009A10B1">
      <w:pPr>
        <w:pStyle w:val="Heading3"/>
        <w:numPr>
          <w:ilvl w:val="0"/>
          <w:numId w:val="16"/>
        </w:numPr>
      </w:pPr>
      <w:bookmarkStart w:id="9" w:name="_Toc243660152"/>
      <w:r>
        <w:t>Draft Determination scenario</w:t>
      </w:r>
      <w:bookmarkEnd w:id="9"/>
    </w:p>
    <w:p w14:paraId="047498C2" w14:textId="13E8171A" w:rsidR="008D6A0F" w:rsidRPr="008D6A0F" w:rsidRDefault="008D6A0F" w:rsidP="008D6A0F">
      <w:r>
        <w:t xml:space="preserve">The scenario presented in the Draft Determination is outlined below. </w:t>
      </w:r>
    </w:p>
    <w:p w14:paraId="0BC63A74" w14:textId="3FDF3C66" w:rsidR="00EA0550" w:rsidRDefault="005814BC" w:rsidP="005814BC">
      <w:pPr>
        <w:pStyle w:val="ListParagraph"/>
        <w:numPr>
          <w:ilvl w:val="0"/>
          <w:numId w:val="11"/>
        </w:numPr>
        <w:jc w:val="both"/>
        <w:rPr>
          <w:b/>
          <w:bCs/>
        </w:rPr>
      </w:pPr>
      <w:r w:rsidRPr="00234BF3">
        <w:rPr>
          <w:b/>
          <w:bCs/>
        </w:rPr>
        <w:t>Supply measure</w:t>
      </w:r>
      <w:r w:rsidR="00F72BBD">
        <w:rPr>
          <w:b/>
          <w:bCs/>
        </w:rPr>
        <w:t xml:space="preserve"> contribution </w:t>
      </w:r>
      <w:r w:rsidR="00DF353A">
        <w:rPr>
          <w:b/>
          <w:bCs/>
        </w:rPr>
        <w:t>(Draft Determination scenario)</w:t>
      </w:r>
    </w:p>
    <w:p w14:paraId="5EA24A71" w14:textId="5B7B0A35" w:rsidR="000E53A3" w:rsidRDefault="00234BF3" w:rsidP="00234BF3">
      <w:pPr>
        <w:jc w:val="both"/>
      </w:pPr>
      <w:r w:rsidRPr="00234BF3">
        <w:t xml:space="preserve">The Draft Determination </w:t>
      </w:r>
      <w:r w:rsidR="00B558CE">
        <w:t xml:space="preserve">identified a </w:t>
      </w:r>
      <w:r w:rsidR="00B558CE" w:rsidRPr="00B61FDD">
        <w:rPr>
          <w:b/>
          <w:bCs/>
        </w:rPr>
        <w:t>proposed supply contribution of 340 GL</w:t>
      </w:r>
      <w:r w:rsidR="005D653C">
        <w:t>.</w:t>
      </w:r>
      <w:r w:rsidR="00B558CE">
        <w:t xml:space="preserve"> </w:t>
      </w:r>
      <w:r w:rsidR="005D653C">
        <w:t>This</w:t>
      </w:r>
      <w:r w:rsidR="00B558CE">
        <w:t xml:space="preserve"> is </w:t>
      </w:r>
      <w:r w:rsidR="00B558CE" w:rsidRPr="00B61FDD">
        <w:rPr>
          <w:b/>
          <w:bCs/>
        </w:rPr>
        <w:t>265 GL less</w:t>
      </w:r>
      <w:r w:rsidR="00181317" w:rsidRPr="00B61FDD">
        <w:rPr>
          <w:b/>
          <w:bCs/>
        </w:rPr>
        <w:t xml:space="preserve"> (i.e. a shortfall)</w:t>
      </w:r>
      <w:r w:rsidR="001055F3" w:rsidRPr="00B61FDD">
        <w:rPr>
          <w:b/>
          <w:bCs/>
        </w:rPr>
        <w:t>,</w:t>
      </w:r>
      <w:r w:rsidR="001055F3">
        <w:t xml:space="preserve"> compared to</w:t>
      </w:r>
      <w:r w:rsidR="00B558CE">
        <w:t xml:space="preserve"> the 2017 supply contribution </w:t>
      </w:r>
      <w:r w:rsidR="00181317">
        <w:t xml:space="preserve">(or ideal </w:t>
      </w:r>
      <w:r w:rsidR="00B535EC">
        <w:t>best-case</w:t>
      </w:r>
      <w:r w:rsidR="00181317">
        <w:t xml:space="preserve"> scenario) of 605 GL.</w:t>
      </w:r>
      <w:r w:rsidR="00B61FDD">
        <w:t xml:space="preserve"> </w:t>
      </w:r>
      <w:r w:rsidR="006D1511">
        <w:t>This is shown below in Figure 2.</w:t>
      </w:r>
    </w:p>
    <w:p w14:paraId="3007B811" w14:textId="7CA31DD5" w:rsidR="00FF1095" w:rsidRPr="00914607" w:rsidRDefault="00FF1095" w:rsidP="00234BF3">
      <w:pPr>
        <w:jc w:val="both"/>
        <w:rPr>
          <w:i/>
          <w:iCs/>
          <w:color w:val="808080" w:themeColor="background1" w:themeShade="80"/>
        </w:rPr>
      </w:pPr>
      <w:r w:rsidRPr="00914607">
        <w:rPr>
          <w:i/>
          <w:iCs/>
          <w:color w:val="808080" w:themeColor="background1" w:themeShade="80"/>
        </w:rPr>
        <w:t xml:space="preserve">Figure 2: Proposed </w:t>
      </w:r>
      <w:r w:rsidR="00914607" w:rsidRPr="00914607">
        <w:rPr>
          <w:i/>
          <w:iCs/>
          <w:color w:val="808080" w:themeColor="background1" w:themeShade="80"/>
        </w:rPr>
        <w:t>S</w:t>
      </w:r>
      <w:r w:rsidRPr="00914607">
        <w:rPr>
          <w:i/>
          <w:iCs/>
          <w:color w:val="808080" w:themeColor="background1" w:themeShade="80"/>
        </w:rPr>
        <w:t xml:space="preserve">upply Contributions under Draft Determination </w:t>
      </w:r>
      <w:r w:rsidR="00C930FF" w:rsidRPr="00914607">
        <w:rPr>
          <w:i/>
          <w:iCs/>
          <w:color w:val="808080" w:themeColor="background1" w:themeShade="80"/>
        </w:rPr>
        <w:t>(source MDBA, NIC annotations)</w:t>
      </w:r>
    </w:p>
    <w:p w14:paraId="396D6892" w14:textId="4E7CC70B" w:rsidR="000E53A3" w:rsidRDefault="00F72BBD" w:rsidP="00234BF3">
      <w:pPr>
        <w:jc w:val="both"/>
      </w:pPr>
      <w:r w:rsidRPr="00965943">
        <w:rPr>
          <w:noProof/>
        </w:rPr>
        <w:drawing>
          <wp:inline distT="0" distB="0" distL="0" distR="0" wp14:anchorId="23ECD94C" wp14:editId="5F91821E">
            <wp:extent cx="4933507" cy="1347177"/>
            <wp:effectExtent l="0" t="0" r="635" b="5715"/>
            <wp:docPr id="461532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532121" name=""/>
                    <pic:cNvPicPr/>
                  </pic:nvPicPr>
                  <pic:blipFill>
                    <a:blip r:embed="rId14"/>
                    <a:stretch>
                      <a:fillRect/>
                    </a:stretch>
                  </pic:blipFill>
                  <pic:spPr>
                    <a:xfrm>
                      <a:off x="0" y="0"/>
                      <a:ext cx="4968137" cy="1356633"/>
                    </a:xfrm>
                    <a:prstGeom prst="rect">
                      <a:avLst/>
                    </a:prstGeom>
                  </pic:spPr>
                </pic:pic>
              </a:graphicData>
            </a:graphic>
          </wp:inline>
        </w:drawing>
      </w:r>
    </w:p>
    <w:p w14:paraId="71FCB1B2" w14:textId="253D6E04" w:rsidR="00C12C41" w:rsidRDefault="00F72BBD" w:rsidP="00234BF3">
      <w:pPr>
        <w:jc w:val="both"/>
      </w:pPr>
      <w:r>
        <w:t>Figure</w:t>
      </w:r>
      <w:r w:rsidR="00B61FDD">
        <w:t xml:space="preserve"> </w:t>
      </w:r>
      <w:r w:rsidR="006D1511">
        <w:t>3</w:t>
      </w:r>
      <w:r w:rsidR="00B61FDD">
        <w:t xml:space="preserve"> </w:t>
      </w:r>
      <w:r>
        <w:t xml:space="preserve">(from the MDBA) </w:t>
      </w:r>
      <w:r w:rsidR="00B61FDD">
        <w:t>below shows the 2017 Determination apportioned supply contribution</w:t>
      </w:r>
      <w:r w:rsidR="000E53A3">
        <w:t xml:space="preserve">, 2026 Determination apportioned supply contribution, and the subsequent difference, or shortfall. </w:t>
      </w:r>
      <w:r w:rsidR="00DF353A">
        <w:t>NIC thanks the MDBA for providing this valley-level analysis in response to our feedback, to assist in the public consultation process.</w:t>
      </w:r>
      <w:r w:rsidR="006627F8">
        <w:t xml:space="preserve"> </w:t>
      </w:r>
    </w:p>
    <w:p w14:paraId="785B2A6D" w14:textId="77777777" w:rsidR="006627F8" w:rsidRDefault="006627F8" w:rsidP="00234BF3">
      <w:pPr>
        <w:jc w:val="both"/>
      </w:pPr>
    </w:p>
    <w:p w14:paraId="7E24211A" w14:textId="2189EEE5" w:rsidR="00D1468E" w:rsidRDefault="00B61FDD" w:rsidP="00234BF3">
      <w:pPr>
        <w:jc w:val="both"/>
      </w:pPr>
      <w:r w:rsidRPr="00914607">
        <w:rPr>
          <w:noProof/>
          <w:color w:val="808080" w:themeColor="background1" w:themeShade="80"/>
        </w:rPr>
        <w:drawing>
          <wp:anchor distT="0" distB="0" distL="114300" distR="114300" simplePos="0" relativeHeight="251658242" behindDoc="0" locked="0" layoutInCell="1" allowOverlap="1" wp14:anchorId="5589A4C0" wp14:editId="66F3FAE3">
            <wp:simplePos x="0" y="0"/>
            <wp:positionH relativeFrom="column">
              <wp:posOffset>-106680</wp:posOffset>
            </wp:positionH>
            <wp:positionV relativeFrom="paragraph">
              <wp:posOffset>467360</wp:posOffset>
            </wp:positionV>
            <wp:extent cx="6426200" cy="4124960"/>
            <wp:effectExtent l="0" t="0" r="0" b="8890"/>
            <wp:wrapSquare wrapText="bothSides"/>
            <wp:docPr id="4" name="Picture 3">
              <a:extLst xmlns:a="http://schemas.openxmlformats.org/drawingml/2006/main">
                <a:ext uri="{FF2B5EF4-FFF2-40B4-BE49-F238E27FC236}">
                  <a16:creationId xmlns:a16="http://schemas.microsoft.com/office/drawing/2014/main" id="{F44E0DDE-66FE-D9F5-368E-7BBB042287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44E0DDE-66FE-D9F5-368E-7BBB0422879F}"/>
                        </a:ext>
                      </a:extLst>
                    </pic:cNvPr>
                    <pic:cNvPicPr>
                      <a:picLocks noChangeAspect="1"/>
                    </pic:cNvPicPr>
                  </pic:nvPicPr>
                  <pic:blipFill>
                    <a:blip r:embed="rId15"/>
                    <a:stretch>
                      <a:fillRect/>
                    </a:stretch>
                  </pic:blipFill>
                  <pic:spPr>
                    <a:xfrm>
                      <a:off x="0" y="0"/>
                      <a:ext cx="6426200" cy="4124960"/>
                    </a:xfrm>
                    <a:prstGeom prst="rect">
                      <a:avLst/>
                    </a:prstGeom>
                  </pic:spPr>
                </pic:pic>
              </a:graphicData>
            </a:graphic>
            <wp14:sizeRelH relativeFrom="margin">
              <wp14:pctWidth>0</wp14:pctWidth>
            </wp14:sizeRelH>
            <wp14:sizeRelV relativeFrom="margin">
              <wp14:pctHeight>0</wp14:pctHeight>
            </wp14:sizeRelV>
          </wp:anchor>
        </w:drawing>
      </w:r>
      <w:r w:rsidR="00D1468E" w:rsidRPr="00914607">
        <w:rPr>
          <w:color w:val="808080" w:themeColor="background1" w:themeShade="80"/>
        </w:rPr>
        <w:t xml:space="preserve">Figure </w:t>
      </w:r>
      <w:r w:rsidR="00FF1095" w:rsidRPr="00914607">
        <w:rPr>
          <w:color w:val="808080" w:themeColor="background1" w:themeShade="80"/>
        </w:rPr>
        <w:t>3</w:t>
      </w:r>
      <w:r w:rsidR="00D1468E" w:rsidRPr="00914607">
        <w:rPr>
          <w:color w:val="808080" w:themeColor="background1" w:themeShade="80"/>
        </w:rPr>
        <w:t>: Proposed supply contribution</w:t>
      </w:r>
      <w:r w:rsidR="00FF1095" w:rsidRPr="00914607">
        <w:rPr>
          <w:color w:val="808080" w:themeColor="background1" w:themeShade="80"/>
        </w:rPr>
        <w:t>s</w:t>
      </w:r>
      <w:r w:rsidR="00D1468E" w:rsidRPr="00914607">
        <w:rPr>
          <w:color w:val="808080" w:themeColor="background1" w:themeShade="80"/>
        </w:rPr>
        <w:t xml:space="preserve"> under Draft Determination</w:t>
      </w:r>
      <w:r w:rsidR="00FF1095" w:rsidRPr="00914607">
        <w:rPr>
          <w:color w:val="808080" w:themeColor="background1" w:themeShade="80"/>
        </w:rPr>
        <w:t xml:space="preserve"> apportioned by valley</w:t>
      </w:r>
      <w:r w:rsidR="00C930FF" w:rsidRPr="00914607">
        <w:rPr>
          <w:color w:val="808080" w:themeColor="background1" w:themeShade="80"/>
        </w:rPr>
        <w:t xml:space="preserve"> (source MDBA)</w:t>
      </w:r>
    </w:p>
    <w:p w14:paraId="21DDA48C" w14:textId="35E892F4" w:rsidR="00D1468E" w:rsidRDefault="00D1468E" w:rsidP="00C74BED">
      <w:pPr>
        <w:jc w:val="both"/>
      </w:pPr>
    </w:p>
    <w:p w14:paraId="176CF4B2" w14:textId="2DCA92C5" w:rsidR="006627F8" w:rsidRDefault="006627F8" w:rsidP="006627F8">
      <w:pPr>
        <w:jc w:val="both"/>
      </w:pPr>
      <w:r>
        <w:t>As the MDBA makes clear:</w:t>
      </w:r>
    </w:p>
    <w:p w14:paraId="73636114" w14:textId="795D1D6B" w:rsidR="006627F8" w:rsidRPr="000C795A" w:rsidRDefault="000C795A" w:rsidP="006627F8">
      <w:pPr>
        <w:jc w:val="both"/>
        <w:rPr>
          <w:i/>
          <w:iCs/>
        </w:rPr>
      </w:pPr>
      <w:r w:rsidRPr="000C795A">
        <w:rPr>
          <w:i/>
          <w:iCs/>
        </w:rPr>
        <w:t>“</w:t>
      </w:r>
      <w:r w:rsidR="006627F8" w:rsidRPr="000C795A">
        <w:rPr>
          <w:i/>
          <w:iCs/>
        </w:rPr>
        <w:t>Importantly, the shortfall does not represent a proposed SDL adjustment amount for an SDL resource unit. Proposed SDL adjustment amounts reflect the combined effect of reconciled supply measure contributions, efficiency measure contributions and additional held environmental water contributions.</w:t>
      </w:r>
      <w:r w:rsidRPr="000C795A">
        <w:rPr>
          <w:i/>
          <w:iCs/>
        </w:rPr>
        <w:t>”</w:t>
      </w:r>
      <w:r w:rsidR="00F66F09">
        <w:rPr>
          <w:rStyle w:val="FootnoteReference"/>
          <w:i/>
          <w:iCs/>
        </w:rPr>
        <w:footnoteReference w:id="2"/>
      </w:r>
    </w:p>
    <w:p w14:paraId="2904CE97" w14:textId="77777777" w:rsidR="006627F8" w:rsidRPr="006627F8" w:rsidRDefault="006627F8" w:rsidP="006627F8">
      <w:pPr>
        <w:jc w:val="both"/>
        <w:rPr>
          <w:b/>
          <w:bCs/>
        </w:rPr>
      </w:pPr>
    </w:p>
    <w:p w14:paraId="67AC9B97" w14:textId="5C779A32" w:rsidR="00BF0BF0" w:rsidRDefault="0010024A" w:rsidP="0010024A">
      <w:pPr>
        <w:pStyle w:val="ListParagraph"/>
        <w:numPr>
          <w:ilvl w:val="0"/>
          <w:numId w:val="11"/>
        </w:numPr>
        <w:jc w:val="both"/>
        <w:rPr>
          <w:b/>
          <w:bCs/>
        </w:rPr>
      </w:pPr>
      <w:r>
        <w:rPr>
          <w:b/>
          <w:bCs/>
        </w:rPr>
        <w:t xml:space="preserve">Additional HEW </w:t>
      </w:r>
      <w:r w:rsidR="00DF353A">
        <w:rPr>
          <w:b/>
          <w:bCs/>
        </w:rPr>
        <w:t>(Draft Determination scenario)</w:t>
      </w:r>
    </w:p>
    <w:p w14:paraId="7A7EB0DE" w14:textId="297A2BD7" w:rsidR="00C12C41" w:rsidRDefault="00D25538" w:rsidP="00D25538">
      <w:pPr>
        <w:jc w:val="both"/>
      </w:pPr>
      <w:r w:rsidRPr="00234BF3">
        <w:t xml:space="preserve">The Draft Determination </w:t>
      </w:r>
      <w:r>
        <w:t>identified</w:t>
      </w:r>
      <w:r w:rsidR="00C12C41">
        <w:t xml:space="preserve"> </w:t>
      </w:r>
      <w:r w:rsidR="00C12C41" w:rsidRPr="00DF353A">
        <w:rPr>
          <w:b/>
          <w:bCs/>
        </w:rPr>
        <w:t xml:space="preserve">221.2 GL acquired </w:t>
      </w:r>
      <w:r w:rsidR="00F66F09">
        <w:rPr>
          <w:b/>
          <w:bCs/>
        </w:rPr>
        <w:t xml:space="preserve">as additional HEW </w:t>
      </w:r>
      <w:r w:rsidR="00C12C41" w:rsidRPr="00DF353A">
        <w:rPr>
          <w:b/>
          <w:bCs/>
        </w:rPr>
        <w:t>towards the 450 GL</w:t>
      </w:r>
      <w:r w:rsidR="00C12C41">
        <w:t xml:space="preserve"> (comprising of 28.8 GL of efficiency contribution, and 192.4 GL of additional HEW). This leaves </w:t>
      </w:r>
      <w:r w:rsidR="00C12C41" w:rsidRPr="00DF353A">
        <w:rPr>
          <w:b/>
          <w:bCs/>
        </w:rPr>
        <w:t>228.8 GL “remaining”</w:t>
      </w:r>
      <w:r w:rsidR="00C12C41">
        <w:t xml:space="preserve"> if the Federal Government choses to maintain their policy position to acquire the full 450 GL.</w:t>
      </w:r>
    </w:p>
    <w:p w14:paraId="5BCD8085" w14:textId="65C4B851" w:rsidR="00914607" w:rsidRPr="00914607" w:rsidRDefault="00914607" w:rsidP="00D25538">
      <w:pPr>
        <w:jc w:val="both"/>
        <w:rPr>
          <w:color w:val="808080" w:themeColor="background1" w:themeShade="80"/>
        </w:rPr>
      </w:pPr>
      <w:r w:rsidRPr="00914607">
        <w:rPr>
          <w:color w:val="808080" w:themeColor="background1" w:themeShade="80"/>
        </w:rPr>
        <w:t>Figure 4: Proposed Additional HEW Contributions under Draft Determination (source MDBA, NIC annotations)</w:t>
      </w:r>
    </w:p>
    <w:p w14:paraId="7BE67B1C" w14:textId="7C411A65" w:rsidR="00F93576" w:rsidRDefault="005F52AB" w:rsidP="00D25538">
      <w:pPr>
        <w:jc w:val="both"/>
      </w:pPr>
      <w:r w:rsidRPr="005F52AB">
        <w:rPr>
          <w:noProof/>
        </w:rPr>
        <w:drawing>
          <wp:inline distT="0" distB="0" distL="0" distR="0" wp14:anchorId="689E9C89" wp14:editId="27E819C0">
            <wp:extent cx="5611008" cy="2162477"/>
            <wp:effectExtent l="0" t="0" r="0" b="9525"/>
            <wp:docPr id="568573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573542" name=""/>
                    <pic:cNvPicPr/>
                  </pic:nvPicPr>
                  <pic:blipFill>
                    <a:blip r:embed="rId16"/>
                    <a:stretch>
                      <a:fillRect/>
                    </a:stretch>
                  </pic:blipFill>
                  <pic:spPr>
                    <a:xfrm>
                      <a:off x="0" y="0"/>
                      <a:ext cx="5611008" cy="2162477"/>
                    </a:xfrm>
                    <a:prstGeom prst="rect">
                      <a:avLst/>
                    </a:prstGeom>
                  </pic:spPr>
                </pic:pic>
              </a:graphicData>
            </a:graphic>
          </wp:inline>
        </w:drawing>
      </w:r>
    </w:p>
    <w:p w14:paraId="5C2B28C0" w14:textId="77777777" w:rsidR="00AF24F0" w:rsidRDefault="00AF24F0" w:rsidP="00D25538">
      <w:pPr>
        <w:jc w:val="both"/>
      </w:pPr>
    </w:p>
    <w:p w14:paraId="53EF7A0D" w14:textId="29B83A90" w:rsidR="00AF24F0" w:rsidRDefault="00965943" w:rsidP="00D25538">
      <w:pPr>
        <w:jc w:val="both"/>
      </w:pPr>
      <w:r>
        <w:t>NIC understands that the contributions towards the 450 GL</w:t>
      </w:r>
      <w:r w:rsidR="00936623">
        <w:t>, as of the Draft Determination, is based on the below valley-level contributions.</w:t>
      </w:r>
    </w:p>
    <w:p w14:paraId="0EEF9753" w14:textId="183240B6" w:rsidR="00C7364D" w:rsidRPr="000B4CB5" w:rsidRDefault="00C7364D" w:rsidP="00D25538">
      <w:pPr>
        <w:jc w:val="both"/>
        <w:rPr>
          <w:color w:val="808080" w:themeColor="background1" w:themeShade="80"/>
        </w:rPr>
      </w:pPr>
      <w:r w:rsidRPr="000B4CB5">
        <w:rPr>
          <w:color w:val="808080" w:themeColor="background1" w:themeShade="80"/>
        </w:rPr>
        <w:t>Table 2: Distribution of</w:t>
      </w:r>
      <w:r w:rsidR="000B4CB5">
        <w:rPr>
          <w:color w:val="808080" w:themeColor="background1" w:themeShade="80"/>
        </w:rPr>
        <w:t xml:space="preserve"> Additional HEW</w:t>
      </w:r>
      <w:r w:rsidRPr="000B4CB5">
        <w:rPr>
          <w:color w:val="808080" w:themeColor="background1" w:themeShade="80"/>
        </w:rPr>
        <w:t xml:space="preserve"> contributions towards the 450 GL across SDL resource units, as of Draft Determination </w:t>
      </w:r>
    </w:p>
    <w:tbl>
      <w:tblPr>
        <w:tblW w:w="9482" w:type="dxa"/>
        <w:tblCellMar>
          <w:left w:w="0" w:type="dxa"/>
          <w:right w:w="0" w:type="dxa"/>
        </w:tblCellMar>
        <w:tblLook w:val="04A0" w:firstRow="1" w:lastRow="0" w:firstColumn="1" w:lastColumn="0" w:noHBand="0" w:noVBand="1"/>
      </w:tblPr>
      <w:tblGrid>
        <w:gridCol w:w="4741"/>
        <w:gridCol w:w="4741"/>
      </w:tblGrid>
      <w:tr w:rsidR="00C7364D" w:rsidRPr="00C7364D" w14:paraId="32BB8FB2" w14:textId="77777777" w:rsidTr="00C7364D">
        <w:trPr>
          <w:trHeight w:val="248"/>
        </w:trPr>
        <w:tc>
          <w:tcPr>
            <w:tcW w:w="4741"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22ACABF9" w14:textId="77777777" w:rsidR="00C7364D" w:rsidRPr="00C7364D" w:rsidRDefault="00C7364D" w:rsidP="00C7364D">
            <w:pPr>
              <w:spacing w:line="276" w:lineRule="auto"/>
              <w:jc w:val="center"/>
              <w:rPr>
                <w:rFonts w:eastAsia="Times New Roman" w:cs="Arial"/>
                <w:kern w:val="0"/>
                <w:lang w:eastAsia="en-AU"/>
                <w14:ligatures w14:val="none"/>
              </w:rPr>
            </w:pPr>
            <w:r w:rsidRPr="00C7364D">
              <w:rPr>
                <w:rFonts w:eastAsia="Times New Roman" w:cs="Calibri"/>
                <w:b/>
                <w:color w:val="FFFFFF"/>
                <w:kern w:val="0"/>
                <w:lang w:eastAsia="en-AU"/>
                <w14:ligatures w14:val="none"/>
              </w:rPr>
              <w:t>SDL resource unit</w:t>
            </w:r>
          </w:p>
        </w:tc>
        <w:tc>
          <w:tcPr>
            <w:tcW w:w="4741"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554E2A5A" w14:textId="29F5CE64" w:rsidR="00C7364D" w:rsidRPr="00C7364D" w:rsidRDefault="00344051" w:rsidP="00C7364D">
            <w:pPr>
              <w:spacing w:line="276" w:lineRule="auto"/>
              <w:rPr>
                <w:rFonts w:eastAsia="Times New Roman" w:cs="Arial"/>
                <w:kern w:val="0"/>
                <w:lang w:eastAsia="en-AU"/>
                <w14:ligatures w14:val="none"/>
              </w:rPr>
            </w:pPr>
            <w:r>
              <w:rPr>
                <w:rFonts w:eastAsia="Times New Roman" w:cs="Calibri"/>
                <w:b/>
                <w:color w:val="FFFFFF"/>
                <w:kern w:val="0"/>
                <w:lang w:eastAsia="en-AU"/>
                <w14:ligatures w14:val="none"/>
              </w:rPr>
              <w:t>Additional HEW</w:t>
            </w:r>
            <w:r w:rsidR="00C7364D" w:rsidRPr="00C7364D">
              <w:rPr>
                <w:rFonts w:eastAsia="Times New Roman" w:cs="Calibri"/>
                <w:b/>
                <w:color w:val="FFFFFF"/>
                <w:kern w:val="0"/>
                <w:lang w:eastAsia="en-AU"/>
                <w14:ligatures w14:val="none"/>
              </w:rPr>
              <w:t xml:space="preserve"> recovery (GL/y) </w:t>
            </w:r>
          </w:p>
        </w:tc>
      </w:tr>
      <w:tr w:rsidR="00C7364D" w:rsidRPr="00C7364D" w14:paraId="3BB0C267"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2557B002"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Moonie</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3007F0E1"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0.8</w:t>
            </w:r>
          </w:p>
        </w:tc>
      </w:tr>
      <w:tr w:rsidR="00C7364D" w:rsidRPr="00C7364D" w14:paraId="69267165"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1EEE2596"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QLD Border Rivers</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3124BAFE"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0.4</w:t>
            </w:r>
          </w:p>
        </w:tc>
      </w:tr>
      <w:tr w:rsidR="00C7364D" w:rsidRPr="00C7364D" w14:paraId="0A742B22"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14A7E509"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Gwydir</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080A33DC"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5.0</w:t>
            </w:r>
          </w:p>
        </w:tc>
      </w:tr>
      <w:tr w:rsidR="00C7364D" w:rsidRPr="00C7364D" w14:paraId="6E40054C"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7646E32D"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Macquarie-Castlereagh</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18862B83"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21.7</w:t>
            </w:r>
          </w:p>
        </w:tc>
      </w:tr>
      <w:tr w:rsidR="00C7364D" w:rsidRPr="00C7364D" w14:paraId="06374E53"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5315CE1D" w14:textId="03954606" w:rsidR="00C7364D" w:rsidRPr="00C7364D" w:rsidRDefault="00C7364D" w:rsidP="00C7364D">
            <w:pPr>
              <w:spacing w:line="276" w:lineRule="auto"/>
              <w:rPr>
                <w:rFonts w:eastAsia="Times New Roman" w:cs="Arial"/>
                <w:kern w:val="0"/>
                <w:lang w:eastAsia="en-AU"/>
                <w14:ligatures w14:val="none"/>
              </w:rPr>
            </w:pPr>
            <w:r>
              <w:rPr>
                <w:rFonts w:eastAsia="Times New Roman" w:cs="Calibri"/>
                <w:b/>
                <w:color w:val="FFFFFF"/>
                <w:kern w:val="0"/>
                <w:lang w:eastAsia="en-AU"/>
                <w14:ligatures w14:val="none"/>
              </w:rPr>
              <w:t>N</w:t>
            </w:r>
            <w:r w:rsidRPr="00C7364D">
              <w:rPr>
                <w:rFonts w:eastAsia="Times New Roman" w:cs="Calibri"/>
                <w:b/>
                <w:color w:val="FFFFFF"/>
                <w:kern w:val="0"/>
                <w:lang w:eastAsia="en-AU"/>
                <w14:ligatures w14:val="none"/>
              </w:rPr>
              <w:t>orthern Basin total</w:t>
            </w:r>
          </w:p>
        </w:tc>
        <w:tc>
          <w:tcPr>
            <w:tcW w:w="4741"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0691109F"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b/>
                <w:color w:val="FFFFFF"/>
                <w:kern w:val="0"/>
                <w:lang w:eastAsia="en-AU"/>
                <w14:ligatures w14:val="none"/>
              </w:rPr>
              <w:t>27.9</w:t>
            </w:r>
          </w:p>
        </w:tc>
      </w:tr>
      <w:tr w:rsidR="00C7364D" w:rsidRPr="00C7364D" w14:paraId="6C374FA9"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12C4803A"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 xml:space="preserve">Lower Darling </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1777DBC8"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0.9</w:t>
            </w:r>
          </w:p>
        </w:tc>
      </w:tr>
      <w:tr w:rsidR="00C7364D" w:rsidRPr="00C7364D" w14:paraId="7627CAD2"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20F7F597"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Murrumbidgee</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63956A9C"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29.0</w:t>
            </w:r>
          </w:p>
        </w:tc>
      </w:tr>
      <w:tr w:rsidR="00C7364D" w:rsidRPr="00C7364D" w14:paraId="2A25F8D6"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6F9CC68F"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 xml:space="preserve">NSW Murray </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6C7A47EB"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50.0</w:t>
            </w:r>
          </w:p>
        </w:tc>
      </w:tr>
      <w:tr w:rsidR="00C7364D" w:rsidRPr="00C7364D" w14:paraId="1F9CD001"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0DC7E3F7"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 xml:space="preserve">ACT </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48813360"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1.5</w:t>
            </w:r>
          </w:p>
        </w:tc>
      </w:tr>
      <w:tr w:rsidR="00C7364D" w:rsidRPr="00C7364D" w14:paraId="6DDC676D"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5DE47FF1"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Broken</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220D28A1"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0.2</w:t>
            </w:r>
          </w:p>
        </w:tc>
      </w:tr>
      <w:tr w:rsidR="00C7364D" w:rsidRPr="00C7364D" w14:paraId="7C87CE51"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3B78B09E"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Campaspe</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201C6628"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0.3</w:t>
            </w:r>
          </w:p>
        </w:tc>
      </w:tr>
      <w:tr w:rsidR="00C7364D" w:rsidRPr="00C7364D" w14:paraId="226E423E"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0102E5B4"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Goulburn</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6732C9A2"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48.7</w:t>
            </w:r>
          </w:p>
        </w:tc>
      </w:tr>
      <w:tr w:rsidR="00C7364D" w:rsidRPr="00C7364D" w14:paraId="1E75CE45"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0A0AA1B0"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Loddon</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54E98A91"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1.4</w:t>
            </w:r>
          </w:p>
        </w:tc>
      </w:tr>
      <w:tr w:rsidR="00C7364D" w:rsidRPr="00C7364D" w14:paraId="232975FF"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02881C84"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VIC Murray</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3ABA966C"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45.5</w:t>
            </w:r>
          </w:p>
        </w:tc>
      </w:tr>
      <w:tr w:rsidR="00C7364D" w:rsidRPr="00C7364D" w14:paraId="7EA6452C"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FFFFFF"/>
            <w:tcMar>
              <w:top w:w="15" w:type="dxa"/>
              <w:left w:w="97" w:type="dxa"/>
              <w:bottom w:w="0" w:type="dxa"/>
              <w:right w:w="97" w:type="dxa"/>
            </w:tcMar>
            <w:hideMark/>
          </w:tcPr>
          <w:p w14:paraId="08A06A11"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color w:val="000000" w:themeColor="text1"/>
                <w:kern w:val="0"/>
                <w:lang w:eastAsia="en-AU"/>
                <w14:ligatures w14:val="none"/>
              </w:rPr>
              <w:t>SA Murray</w:t>
            </w:r>
          </w:p>
        </w:tc>
        <w:tc>
          <w:tcPr>
            <w:tcW w:w="4741"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0D11CB05" w14:textId="77777777" w:rsidR="00C7364D" w:rsidRPr="00C7364D" w:rsidRDefault="00C7364D" w:rsidP="00C7364D">
            <w:pPr>
              <w:spacing w:line="276" w:lineRule="auto"/>
              <w:jc w:val="right"/>
              <w:rPr>
                <w:rFonts w:eastAsia="Times New Roman" w:cs="Arial"/>
                <w:kern w:val="0"/>
                <w:lang w:eastAsia="en-AU"/>
                <w14:ligatures w14:val="none"/>
              </w:rPr>
            </w:pPr>
            <w:r w:rsidRPr="00C7364D">
              <w:rPr>
                <w:rFonts w:eastAsia="Times New Roman" w:cs="Calibri"/>
                <w:color w:val="000000"/>
                <w:kern w:val="0"/>
                <w:lang w:eastAsia="en-AU"/>
                <w14:ligatures w14:val="none"/>
              </w:rPr>
              <w:t>15.7</w:t>
            </w:r>
          </w:p>
        </w:tc>
      </w:tr>
      <w:tr w:rsidR="00C7364D" w:rsidRPr="00C7364D" w14:paraId="5DAC81E7"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4BB89854" w14:textId="3135FAA5" w:rsidR="00C7364D" w:rsidRPr="00C7364D" w:rsidRDefault="00C7364D" w:rsidP="00C7364D">
            <w:pPr>
              <w:spacing w:line="276" w:lineRule="auto"/>
              <w:rPr>
                <w:rFonts w:eastAsia="Times New Roman" w:cs="Arial"/>
                <w:kern w:val="0"/>
                <w:lang w:eastAsia="en-AU"/>
                <w14:ligatures w14:val="none"/>
              </w:rPr>
            </w:pPr>
            <w:r>
              <w:rPr>
                <w:rFonts w:eastAsia="Times New Roman" w:cs="Calibri"/>
                <w:b/>
                <w:color w:val="FFFFFF"/>
                <w:kern w:val="0"/>
                <w:lang w:eastAsia="en-AU"/>
                <w14:ligatures w14:val="none"/>
              </w:rPr>
              <w:t>S</w:t>
            </w:r>
            <w:r w:rsidRPr="00C7364D">
              <w:rPr>
                <w:rFonts w:eastAsia="Times New Roman" w:cs="Calibri"/>
                <w:b/>
                <w:color w:val="FFFFFF"/>
                <w:kern w:val="0"/>
                <w:lang w:eastAsia="en-AU"/>
                <w14:ligatures w14:val="none"/>
              </w:rPr>
              <w:t>outhern Basin total</w:t>
            </w:r>
          </w:p>
        </w:tc>
        <w:tc>
          <w:tcPr>
            <w:tcW w:w="4741"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03B8A55D" w14:textId="77777777" w:rsidR="00C7364D" w:rsidRPr="00C7364D" w:rsidRDefault="00C7364D" w:rsidP="00C7364D">
            <w:pPr>
              <w:spacing w:line="276" w:lineRule="auto"/>
              <w:ind w:firstLine="144"/>
              <w:jc w:val="right"/>
              <w:rPr>
                <w:rFonts w:eastAsia="Times New Roman" w:cs="Arial"/>
                <w:kern w:val="0"/>
                <w:lang w:eastAsia="en-AU"/>
                <w14:ligatures w14:val="none"/>
              </w:rPr>
            </w:pPr>
            <w:r w:rsidRPr="00C7364D">
              <w:rPr>
                <w:rFonts w:eastAsia="Times New Roman" w:cs="Calibri"/>
                <w:b/>
                <w:color w:val="FFFFFF"/>
                <w:kern w:val="0"/>
                <w:lang w:eastAsia="en-AU"/>
                <w14:ligatures w14:val="none"/>
              </w:rPr>
              <w:t>193.2</w:t>
            </w:r>
          </w:p>
        </w:tc>
      </w:tr>
      <w:tr w:rsidR="00C7364D" w:rsidRPr="00C7364D" w14:paraId="2D90B73B" w14:textId="77777777" w:rsidTr="00C7364D">
        <w:trPr>
          <w:trHeight w:val="234"/>
        </w:trPr>
        <w:tc>
          <w:tcPr>
            <w:tcW w:w="4741"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3E005FB2" w14:textId="77777777" w:rsidR="00C7364D" w:rsidRPr="00C7364D" w:rsidRDefault="00C7364D" w:rsidP="00C7364D">
            <w:pPr>
              <w:spacing w:line="276" w:lineRule="auto"/>
              <w:rPr>
                <w:rFonts w:eastAsia="Times New Roman" w:cs="Arial"/>
                <w:kern w:val="0"/>
                <w:lang w:eastAsia="en-AU"/>
                <w14:ligatures w14:val="none"/>
              </w:rPr>
            </w:pPr>
            <w:r w:rsidRPr="00C7364D">
              <w:rPr>
                <w:rFonts w:eastAsia="Times New Roman" w:cs="Calibri"/>
                <w:b/>
                <w:color w:val="FFFFFF"/>
                <w:kern w:val="0"/>
                <w:lang w:eastAsia="en-AU"/>
                <w14:ligatures w14:val="none"/>
              </w:rPr>
              <w:t>TOTALS</w:t>
            </w:r>
          </w:p>
        </w:tc>
        <w:tc>
          <w:tcPr>
            <w:tcW w:w="4741"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2F641545" w14:textId="77777777" w:rsidR="00C7364D" w:rsidRPr="00C7364D" w:rsidRDefault="00C7364D" w:rsidP="00C7364D">
            <w:pPr>
              <w:spacing w:line="276" w:lineRule="auto"/>
              <w:ind w:firstLine="144"/>
              <w:jc w:val="right"/>
              <w:rPr>
                <w:rFonts w:eastAsia="Times New Roman" w:cs="Arial"/>
                <w:kern w:val="0"/>
                <w:lang w:eastAsia="en-AU"/>
                <w14:ligatures w14:val="none"/>
              </w:rPr>
            </w:pPr>
            <w:r w:rsidRPr="00C7364D">
              <w:rPr>
                <w:rFonts w:eastAsia="Times New Roman" w:cs="Calibri"/>
                <w:b/>
                <w:color w:val="FFFFFF"/>
                <w:kern w:val="0"/>
                <w:lang w:eastAsia="en-AU"/>
                <w14:ligatures w14:val="none"/>
              </w:rPr>
              <w:t>221.3</w:t>
            </w:r>
          </w:p>
        </w:tc>
      </w:tr>
    </w:tbl>
    <w:p w14:paraId="78F81A48" w14:textId="77777777" w:rsidR="001D2A8B" w:rsidRDefault="001D2A8B" w:rsidP="00D25538">
      <w:pPr>
        <w:jc w:val="both"/>
      </w:pPr>
    </w:p>
    <w:p w14:paraId="4640FDBC" w14:textId="7EF793F1" w:rsidR="005518A7" w:rsidRPr="005518A7" w:rsidRDefault="00B835A7" w:rsidP="005518A7">
      <w:pPr>
        <w:pStyle w:val="ListParagraph"/>
        <w:numPr>
          <w:ilvl w:val="0"/>
          <w:numId w:val="11"/>
        </w:numPr>
        <w:jc w:val="both"/>
        <w:rPr>
          <w:b/>
          <w:bCs/>
        </w:rPr>
      </w:pPr>
      <w:r>
        <w:rPr>
          <w:b/>
          <w:bCs/>
        </w:rPr>
        <w:t>SDL adjustment</w:t>
      </w:r>
      <w:r w:rsidR="005518A7" w:rsidRPr="005518A7">
        <w:rPr>
          <w:b/>
          <w:bCs/>
        </w:rPr>
        <w:t xml:space="preserve"> (Draft Determination scenario)</w:t>
      </w:r>
    </w:p>
    <w:p w14:paraId="5BAE79EC" w14:textId="6353E67E" w:rsidR="00CC4605" w:rsidRDefault="00CC4605" w:rsidP="00AF24F0">
      <w:pPr>
        <w:jc w:val="both"/>
      </w:pPr>
      <w:r>
        <w:t>These contributions can then be inserted into the SDL adjustment formula</w:t>
      </w:r>
      <w:r w:rsidR="00AF24F0">
        <w:t xml:space="preserve"> (Figure 1)</w:t>
      </w:r>
      <w:r>
        <w:t xml:space="preserve">. </w:t>
      </w:r>
      <w:r w:rsidR="00F02D8C">
        <w:t>This is how the SDL adjustment in the Draft Determination document has been produced</w:t>
      </w:r>
      <w:r w:rsidR="00B835A7">
        <w:t xml:space="preserve">, </w:t>
      </w:r>
      <w:r w:rsidR="00B835A7" w:rsidRPr="00B835A7">
        <w:rPr>
          <w:b/>
          <w:bCs/>
        </w:rPr>
        <w:t>proposing the SDL adjustment of 118.8 GL</w:t>
      </w:r>
      <w:r w:rsidR="00B835A7">
        <w:t xml:space="preserve">, as shown in Table 1. </w:t>
      </w:r>
    </w:p>
    <w:p w14:paraId="72C7E010" w14:textId="40E0A2A7" w:rsidR="00557854" w:rsidRDefault="00557854" w:rsidP="00AF24F0">
      <w:pPr>
        <w:jc w:val="both"/>
      </w:pPr>
      <w:r>
        <w:t xml:space="preserve">The most important </w:t>
      </w:r>
      <w:r w:rsidR="0010313E">
        <w:t>point to note from</w:t>
      </w:r>
      <w:r w:rsidR="00093138">
        <w:t xml:space="preserve"> the proposed SDL adjustment in the </w:t>
      </w:r>
      <w:r w:rsidR="00907B57">
        <w:t xml:space="preserve">Draft Determination scenario, is that </w:t>
      </w:r>
      <w:r w:rsidR="0010313E">
        <w:t xml:space="preserve">while the Draft Determination produces an SDL adjustment of 118.8 GL (i.e. SDL increase of this amount), this is </w:t>
      </w:r>
      <w:r w:rsidR="002E11F7">
        <w:t>424.2 GL less than the best-case scenario of the full effect of SDLAM.</w:t>
      </w:r>
    </w:p>
    <w:p w14:paraId="30494D80" w14:textId="25D44C57" w:rsidR="00E446F8" w:rsidRPr="00703FF6" w:rsidRDefault="00E9306E" w:rsidP="00703FF6">
      <w:pPr>
        <w:jc w:val="center"/>
        <w:rPr>
          <w:b/>
          <w:bCs/>
          <w:i/>
          <w:iCs/>
          <w:color w:val="00538F" w:themeColor="accent1" w:themeShade="BF"/>
        </w:rPr>
      </w:pPr>
      <w:r w:rsidRPr="00E9306E">
        <w:rPr>
          <w:b/>
          <w:bCs/>
          <w:i/>
          <w:iCs/>
          <w:color w:val="00538F" w:themeColor="accent1" w:themeShade="BF"/>
        </w:rPr>
        <w:t>Finding 1: The Draft Determination is 424.2 GL less than the best-case scenario of the full effect of SDLAM</w:t>
      </w:r>
    </w:p>
    <w:p w14:paraId="51F6CAFE" w14:textId="65C677DD" w:rsidR="00113115" w:rsidRDefault="00113115" w:rsidP="009A10B1">
      <w:pPr>
        <w:pStyle w:val="Heading3"/>
        <w:numPr>
          <w:ilvl w:val="0"/>
          <w:numId w:val="16"/>
        </w:numPr>
      </w:pPr>
      <w:bookmarkStart w:id="10" w:name="_Toc243660153"/>
      <w:r>
        <w:t>Potential Determination scenario</w:t>
      </w:r>
      <w:r w:rsidR="00D2100B">
        <w:t>s</w:t>
      </w:r>
      <w:bookmarkEnd w:id="10"/>
    </w:p>
    <w:p w14:paraId="4AF0771C" w14:textId="77777777" w:rsidR="00E446F8" w:rsidRDefault="00E446F8" w:rsidP="00D25538">
      <w:pPr>
        <w:jc w:val="both"/>
      </w:pPr>
      <w:r>
        <w:t xml:space="preserve">In addition to the two scenarios explored above, there are further scenarios that must be considered. </w:t>
      </w:r>
    </w:p>
    <w:p w14:paraId="07F878E4" w14:textId="2A18A83C" w:rsidR="001D2A8B" w:rsidRDefault="005D3B25" w:rsidP="00D25538">
      <w:pPr>
        <w:jc w:val="both"/>
      </w:pPr>
      <w:r>
        <w:t xml:space="preserve">NIC is concerned that </w:t>
      </w:r>
      <w:r w:rsidR="490B3C8B">
        <w:t>by the MDBA choosing a lower</w:t>
      </w:r>
      <w:r>
        <w:t xml:space="preserve"> </w:t>
      </w:r>
      <w:r w:rsidR="490B3C8B">
        <w:t>than publicly recorded figure of contracted water recovery towards the 450GL</w:t>
      </w:r>
      <w:r w:rsidRPr="1CDC7F50">
        <w:rPr>
          <w:rStyle w:val="FootnoteReference"/>
        </w:rPr>
        <w:footnoteReference w:id="3"/>
      </w:r>
      <w:r w:rsidR="490B3C8B">
        <w:t xml:space="preserve">, they have created the expectation of </w:t>
      </w:r>
      <w:r w:rsidR="527C9220">
        <w:t xml:space="preserve">a positive SDL adjustment.  However, the NIC note </w:t>
      </w:r>
      <w:r>
        <w:t xml:space="preserve">there will be significant change </w:t>
      </w:r>
      <w:r w:rsidR="00B535EC">
        <w:t>from the Draft Determination scenario</w:t>
      </w:r>
      <w:r>
        <w:t xml:space="preserve"> to the </w:t>
      </w:r>
      <w:r w:rsidR="001C19A2">
        <w:t>F</w:t>
      </w:r>
      <w:r>
        <w:t xml:space="preserve">inal </w:t>
      </w:r>
      <w:r w:rsidR="001C19A2">
        <w:t>D</w:t>
      </w:r>
      <w:r>
        <w:t xml:space="preserve">etermination scenario, due to the pace of recovery of water towards the 450 GL. </w:t>
      </w:r>
    </w:p>
    <w:p w14:paraId="00059709" w14:textId="4FE7BD8D" w:rsidR="005D3B25" w:rsidRDefault="00C87EC3" w:rsidP="00D25538">
      <w:pPr>
        <w:jc w:val="both"/>
      </w:pPr>
      <w:r>
        <w:t xml:space="preserve">As above, the Draft Determination only factored in 221 GL of recovery towards the 450 GL. However, reporting by DCCEEW shows that this </w:t>
      </w:r>
      <w:r w:rsidR="00431490">
        <w:t xml:space="preserve">number is already outdated. According to the DCCEEW website, as of 30 June 2026, </w:t>
      </w:r>
      <w:r w:rsidR="00B11DD9">
        <w:t>230 GL is registered, with another 150.7 GL contracted but not yet registered, which combined brings a total of 380.7 GL.</w:t>
      </w:r>
      <w:r w:rsidR="00544C0A">
        <w:t xml:space="preserve"> An extract from the DCCEEW website is shown below in</w:t>
      </w:r>
      <w:r w:rsidR="00515A91">
        <w:t xml:space="preserve"> the below</w:t>
      </w:r>
      <w:r w:rsidR="00544C0A">
        <w:t xml:space="preserve"> Figure.</w:t>
      </w:r>
    </w:p>
    <w:p w14:paraId="5BF0E399" w14:textId="0514ABA2" w:rsidR="00544C0A" w:rsidRPr="000B4CB5" w:rsidRDefault="00544C0A" w:rsidP="00D25538">
      <w:pPr>
        <w:jc w:val="both"/>
        <w:rPr>
          <w:color w:val="808080" w:themeColor="background1" w:themeShade="80"/>
        </w:rPr>
      </w:pPr>
      <w:r w:rsidRPr="000B4CB5">
        <w:rPr>
          <w:color w:val="808080" w:themeColor="background1" w:themeShade="80"/>
        </w:rPr>
        <w:t xml:space="preserve">Figure </w:t>
      </w:r>
      <w:r w:rsidR="000B4CB5">
        <w:rPr>
          <w:color w:val="808080" w:themeColor="background1" w:themeShade="80"/>
        </w:rPr>
        <w:t>5</w:t>
      </w:r>
      <w:r w:rsidRPr="000B4CB5">
        <w:rPr>
          <w:color w:val="808080" w:themeColor="background1" w:themeShade="80"/>
        </w:rPr>
        <w:t>: Extract from DCCEEW website on recovering towards the 450 GL</w:t>
      </w:r>
      <w:r w:rsidR="00EB5CCE">
        <w:rPr>
          <w:color w:val="808080" w:themeColor="background1" w:themeShade="80"/>
        </w:rPr>
        <w:t xml:space="preserve"> (source DCCEEW)</w:t>
      </w:r>
    </w:p>
    <w:p w14:paraId="531C5827" w14:textId="0DFBDECF" w:rsidR="00431490" w:rsidRDefault="00431490" w:rsidP="00D25538">
      <w:pPr>
        <w:jc w:val="both"/>
      </w:pPr>
      <w:r w:rsidRPr="00431490">
        <w:rPr>
          <w:noProof/>
        </w:rPr>
        <w:drawing>
          <wp:inline distT="0" distB="0" distL="0" distR="0" wp14:anchorId="481F820C" wp14:editId="32F6E1DC">
            <wp:extent cx="5731510" cy="1068705"/>
            <wp:effectExtent l="0" t="0" r="2540" b="0"/>
            <wp:docPr id="7" name="Picture 6">
              <a:extLst xmlns:a="http://schemas.openxmlformats.org/drawingml/2006/main">
                <a:ext uri="{FF2B5EF4-FFF2-40B4-BE49-F238E27FC236}">
                  <a16:creationId xmlns:a16="http://schemas.microsoft.com/office/drawing/2014/main" id="{847CE15A-991F-8BA5-94C1-19588DD3F8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847CE15A-991F-8BA5-94C1-19588DD3F853}"/>
                        </a:ext>
                      </a:extLst>
                    </pic:cNvPr>
                    <pic:cNvPicPr>
                      <a:picLocks noChangeAspect="1"/>
                    </pic:cNvPicPr>
                  </pic:nvPicPr>
                  <pic:blipFill>
                    <a:blip r:embed="rId17"/>
                    <a:stretch>
                      <a:fillRect/>
                    </a:stretch>
                  </pic:blipFill>
                  <pic:spPr>
                    <a:xfrm>
                      <a:off x="0" y="0"/>
                      <a:ext cx="5731510" cy="1068705"/>
                    </a:xfrm>
                    <a:prstGeom prst="rect">
                      <a:avLst/>
                    </a:prstGeom>
                  </pic:spPr>
                </pic:pic>
              </a:graphicData>
            </a:graphic>
          </wp:inline>
        </w:drawing>
      </w:r>
    </w:p>
    <w:p w14:paraId="5259BFC6" w14:textId="1135B2C9" w:rsidR="00D50453" w:rsidRDefault="00D50453" w:rsidP="00D25538">
      <w:pPr>
        <w:jc w:val="both"/>
      </w:pPr>
      <w:r>
        <w:t>The significance of this is that there is another 159.5 GL of additional recovery</w:t>
      </w:r>
      <w:r w:rsidR="00C27F64">
        <w:t>, which may be expected to contribute to the Final Determination</w:t>
      </w:r>
      <w:r w:rsidR="001C19A2">
        <w:t>, that was not yet factored into this Draft Determination</w:t>
      </w:r>
      <w:r w:rsidR="00C27F64">
        <w:t xml:space="preserve">. This number may also be potentially higher as the Federal Government has </w:t>
      </w:r>
      <w:r w:rsidR="00B535EC">
        <w:t>expressed,</w:t>
      </w:r>
      <w:r w:rsidR="00C27F64">
        <w:t xml:space="preserve"> they maintain their position to recover the full 450 GL, with some reports of acquiring at least 400 GL by the end of the calendar year. </w:t>
      </w:r>
    </w:p>
    <w:p w14:paraId="1068DDB0" w14:textId="25137ABD" w:rsidR="00310F57" w:rsidRPr="00A6159F" w:rsidRDefault="00310F57" w:rsidP="00A6159F">
      <w:pPr>
        <w:jc w:val="center"/>
        <w:rPr>
          <w:b/>
          <w:bCs/>
          <w:i/>
          <w:iCs/>
          <w:color w:val="00538F" w:themeColor="accent1" w:themeShade="BF"/>
        </w:rPr>
      </w:pPr>
      <w:r w:rsidRPr="00E9306E">
        <w:rPr>
          <w:b/>
          <w:bCs/>
          <w:i/>
          <w:iCs/>
          <w:color w:val="00538F" w:themeColor="accent1" w:themeShade="BF"/>
        </w:rPr>
        <w:t xml:space="preserve">Finding </w:t>
      </w:r>
      <w:r>
        <w:rPr>
          <w:b/>
          <w:bCs/>
          <w:i/>
          <w:iCs/>
          <w:color w:val="00538F" w:themeColor="accent1" w:themeShade="BF"/>
        </w:rPr>
        <w:t>2</w:t>
      </w:r>
      <w:r w:rsidRPr="00E9306E">
        <w:rPr>
          <w:b/>
          <w:bCs/>
          <w:i/>
          <w:iCs/>
          <w:color w:val="00538F" w:themeColor="accent1" w:themeShade="BF"/>
        </w:rPr>
        <w:t xml:space="preserve">: The </w:t>
      </w:r>
      <w:r>
        <w:rPr>
          <w:b/>
          <w:bCs/>
          <w:i/>
          <w:iCs/>
          <w:color w:val="00538F" w:themeColor="accent1" w:themeShade="BF"/>
        </w:rPr>
        <w:t>Final</w:t>
      </w:r>
      <w:r w:rsidRPr="00E9306E">
        <w:rPr>
          <w:b/>
          <w:bCs/>
          <w:i/>
          <w:iCs/>
          <w:color w:val="00538F" w:themeColor="accent1" w:themeShade="BF"/>
        </w:rPr>
        <w:t xml:space="preserve"> Determination</w:t>
      </w:r>
      <w:r>
        <w:rPr>
          <w:b/>
          <w:bCs/>
          <w:i/>
          <w:iCs/>
          <w:color w:val="00538F" w:themeColor="accent1" w:themeShade="BF"/>
        </w:rPr>
        <w:t xml:space="preserve"> is likely to be substantially different to the Draft Determination, as </w:t>
      </w:r>
      <w:r w:rsidR="00C27974">
        <w:rPr>
          <w:b/>
          <w:bCs/>
          <w:i/>
          <w:iCs/>
          <w:color w:val="00538F" w:themeColor="accent1" w:themeShade="BF"/>
        </w:rPr>
        <w:t xml:space="preserve">contributions to additional HEW </w:t>
      </w:r>
      <w:r w:rsidR="00134B7E">
        <w:rPr>
          <w:b/>
          <w:bCs/>
          <w:i/>
          <w:iCs/>
          <w:color w:val="00538F" w:themeColor="accent1" w:themeShade="BF"/>
        </w:rPr>
        <w:t xml:space="preserve">are </w:t>
      </w:r>
      <w:r w:rsidR="00134B7E" w:rsidRPr="00134B7E">
        <w:rPr>
          <w:b/>
          <w:bCs/>
          <w:i/>
          <w:iCs/>
          <w:color w:val="00538F" w:themeColor="accent1" w:themeShade="BF"/>
        </w:rPr>
        <w:t>rapidly</w:t>
      </w:r>
      <w:r w:rsidR="030A341D" w:rsidRPr="00134B7E">
        <w:rPr>
          <w:b/>
          <w:bCs/>
          <w:i/>
          <w:iCs/>
          <w:color w:val="00538F" w:themeColor="accent1" w:themeShade="BF"/>
        </w:rPr>
        <w:t xml:space="preserve"> increasing</w:t>
      </w:r>
      <w:r w:rsidR="00F611B1" w:rsidRPr="00134B7E">
        <w:rPr>
          <w:b/>
          <w:bCs/>
          <w:i/>
          <w:iCs/>
          <w:color w:val="00538F" w:themeColor="accent1" w:themeShade="BF"/>
        </w:rPr>
        <w:t xml:space="preserve"> </w:t>
      </w:r>
      <w:r w:rsidR="00F611B1">
        <w:rPr>
          <w:b/>
          <w:bCs/>
          <w:i/>
          <w:iCs/>
          <w:color w:val="00538F" w:themeColor="accent1" w:themeShade="BF"/>
        </w:rPr>
        <w:t>as water recovery ‘contracted but not yet registered’ becomes registered</w:t>
      </w:r>
      <w:r w:rsidR="00AF69CA">
        <w:rPr>
          <w:b/>
          <w:bCs/>
          <w:i/>
          <w:iCs/>
          <w:color w:val="00538F" w:themeColor="accent1" w:themeShade="BF"/>
        </w:rPr>
        <w:t xml:space="preserve">, as well as </w:t>
      </w:r>
      <w:r w:rsidR="00384136">
        <w:rPr>
          <w:b/>
          <w:bCs/>
          <w:i/>
          <w:iCs/>
          <w:color w:val="00538F" w:themeColor="accent1" w:themeShade="BF"/>
        </w:rPr>
        <w:t>ongoing</w:t>
      </w:r>
      <w:r w:rsidR="00AF69CA">
        <w:rPr>
          <w:b/>
          <w:bCs/>
          <w:i/>
          <w:iCs/>
          <w:color w:val="00538F" w:themeColor="accent1" w:themeShade="BF"/>
        </w:rPr>
        <w:t xml:space="preserve"> recovery. </w:t>
      </w:r>
      <w:r w:rsidR="00384136">
        <w:rPr>
          <w:b/>
          <w:bCs/>
          <w:i/>
          <w:iCs/>
          <w:color w:val="00538F" w:themeColor="accent1" w:themeShade="BF"/>
        </w:rPr>
        <w:t xml:space="preserve"> This is estimated </w:t>
      </w:r>
      <w:r w:rsidR="00A6159F">
        <w:rPr>
          <w:b/>
          <w:bCs/>
          <w:i/>
          <w:iCs/>
          <w:color w:val="00538F" w:themeColor="accent1" w:themeShade="BF"/>
        </w:rPr>
        <w:t xml:space="preserve">to be </w:t>
      </w:r>
      <w:r w:rsidR="00384136">
        <w:rPr>
          <w:b/>
          <w:bCs/>
          <w:i/>
          <w:iCs/>
          <w:color w:val="00538F" w:themeColor="accent1" w:themeShade="BF"/>
        </w:rPr>
        <w:t xml:space="preserve">at </w:t>
      </w:r>
      <w:r w:rsidR="00A6159F">
        <w:rPr>
          <w:b/>
          <w:bCs/>
          <w:i/>
          <w:iCs/>
          <w:color w:val="00538F" w:themeColor="accent1" w:themeShade="BF"/>
        </w:rPr>
        <w:t>least 159.5 GL variation from the Draft to the Final, not considering further purchases from 30 June 2026.</w:t>
      </w:r>
    </w:p>
    <w:p w14:paraId="62CF13AE" w14:textId="004895C2" w:rsidR="000D4D4F" w:rsidRDefault="000D4D4F" w:rsidP="00D25538">
      <w:pPr>
        <w:jc w:val="both"/>
      </w:pPr>
      <w:r>
        <w:t xml:space="preserve">To properly respond to this </w:t>
      </w:r>
      <w:r w:rsidR="00D2100B">
        <w:t xml:space="preserve">public consultation </w:t>
      </w:r>
      <w:r>
        <w:t xml:space="preserve">process, it is therefore important to consider </w:t>
      </w:r>
      <w:r w:rsidR="00A64994">
        <w:t>further</w:t>
      </w:r>
      <w:r>
        <w:t xml:space="preserve"> scenarios, with increased contributions towards the 450 GL</w:t>
      </w:r>
      <w:r w:rsidR="00A64994">
        <w:t xml:space="preserve"> beyond what has been factored into the Draft Determination to date</w:t>
      </w:r>
      <w:r>
        <w:t>.</w:t>
      </w:r>
      <w:r w:rsidR="00D2100B">
        <w:t xml:space="preserve"> These are explored in Table 1</w:t>
      </w:r>
      <w:r w:rsidR="00D05939">
        <w:t>, with:</w:t>
      </w:r>
    </w:p>
    <w:p w14:paraId="16BC5C0B" w14:textId="7422502E" w:rsidR="00D05939" w:rsidRDefault="00D05939" w:rsidP="00D05939">
      <w:pPr>
        <w:pStyle w:val="ListParagraph"/>
        <w:numPr>
          <w:ilvl w:val="0"/>
          <w:numId w:val="15"/>
        </w:numPr>
        <w:jc w:val="both"/>
      </w:pPr>
      <w:r w:rsidRPr="00FD4DAD">
        <w:rPr>
          <w:u w:val="single"/>
        </w:rPr>
        <w:t>Potential Scenario 1</w:t>
      </w:r>
      <w:r>
        <w:t xml:space="preserve"> </w:t>
      </w:r>
      <w:r w:rsidR="00A70F06">
        <w:t>–</w:t>
      </w:r>
      <w:r>
        <w:t xml:space="preserve"> </w:t>
      </w:r>
      <w:r w:rsidR="00A70F06">
        <w:t>maintains the proposed 340 GL supply contribution, and assumes 380 GL of additional HEW</w:t>
      </w:r>
      <w:r w:rsidR="00FD4DAD">
        <w:t>;</w:t>
      </w:r>
    </w:p>
    <w:p w14:paraId="3DEED98B" w14:textId="4989D006" w:rsidR="00D05939" w:rsidRDefault="00D05939" w:rsidP="00D05939">
      <w:pPr>
        <w:pStyle w:val="ListParagraph"/>
        <w:numPr>
          <w:ilvl w:val="0"/>
          <w:numId w:val="15"/>
        </w:numPr>
        <w:jc w:val="both"/>
      </w:pPr>
      <w:r w:rsidRPr="00FD4DAD">
        <w:rPr>
          <w:u w:val="single"/>
        </w:rPr>
        <w:t>Potential Scenario 2</w:t>
      </w:r>
      <w:r>
        <w:t xml:space="preserve"> - </w:t>
      </w:r>
      <w:r w:rsidR="00A70F06">
        <w:t xml:space="preserve">maintains the proposed 340 GL supply </w:t>
      </w:r>
      <w:r w:rsidR="00B535EC">
        <w:t>contribution and</w:t>
      </w:r>
      <w:r w:rsidR="00A70F06">
        <w:t xml:space="preserve"> assumes 450 GL of additional HEW.</w:t>
      </w:r>
    </w:p>
    <w:p w14:paraId="0FA51382" w14:textId="51AE1E58" w:rsidR="00AF091A" w:rsidRDefault="00A70F06" w:rsidP="00D25538">
      <w:pPr>
        <w:jc w:val="both"/>
      </w:pPr>
      <w:r>
        <w:t xml:space="preserve">As </w:t>
      </w:r>
      <w:r w:rsidR="00AF091A">
        <w:t xml:space="preserve">Table </w:t>
      </w:r>
      <w:r>
        <w:t>1</w:t>
      </w:r>
      <w:r w:rsidR="00AF091A">
        <w:t xml:space="preserve"> above shows</w:t>
      </w:r>
      <w:r>
        <w:t>,</w:t>
      </w:r>
      <w:r w:rsidR="00AF091A">
        <w:t xml:space="preserve"> </w:t>
      </w:r>
      <w:r w:rsidR="00FC5347">
        <w:t>as</w:t>
      </w:r>
      <w:r w:rsidR="00AF091A">
        <w:t xml:space="preserve"> more water is registered to contribute towards the 450 GL of additional HEW</w:t>
      </w:r>
      <w:r w:rsidR="00561DB7">
        <w:t>, the final SDL adjustment decreases</w:t>
      </w:r>
      <w:r w:rsidR="00F73B16">
        <w:t xml:space="preserve"> (assuming the supply contribution remains constant at the proposed 340 GL)</w:t>
      </w:r>
      <w:r w:rsidR="00561DB7">
        <w:t xml:space="preserve">. </w:t>
      </w:r>
    </w:p>
    <w:p w14:paraId="7FDD7285" w14:textId="0C3532EE" w:rsidR="00060E7F" w:rsidRDefault="00561DB7" w:rsidP="00060E7F">
      <w:pPr>
        <w:jc w:val="both"/>
      </w:pPr>
      <w:r w:rsidRPr="00600813">
        <w:rPr>
          <w:b/>
          <w:bCs/>
        </w:rPr>
        <w:t>Where this becomes interesting, is that it reaches a point where the final SDL adjustment becomes negative.</w:t>
      </w:r>
      <w:r>
        <w:t xml:space="preserve"> </w:t>
      </w:r>
      <w:r w:rsidR="00935348">
        <w:t xml:space="preserve">Put simply, that the net effect of SDLAM, produces a result where the SDL is </w:t>
      </w:r>
      <w:r w:rsidR="00331871">
        <w:t xml:space="preserve">lower, than </w:t>
      </w:r>
      <w:r w:rsidR="00600813">
        <w:t>without</w:t>
      </w:r>
      <w:r w:rsidR="00331871">
        <w:t xml:space="preserve"> SDLAM. </w:t>
      </w:r>
      <w:r w:rsidR="00060E7F">
        <w:t>Note</w:t>
      </w:r>
      <w:r w:rsidR="00101E9A">
        <w:t xml:space="preserve"> (as above)</w:t>
      </w:r>
      <w:r w:rsidR="00060E7F">
        <w:t>: SDLs are calculated based on the following formula:</w:t>
      </w:r>
    </w:p>
    <w:p w14:paraId="5D9D8AAA" w14:textId="280B2210" w:rsidR="00060E7F" w:rsidRPr="00060E7F" w:rsidRDefault="00060E7F" w:rsidP="00060E7F">
      <w:pPr>
        <w:jc w:val="center"/>
        <w:rPr>
          <w:i/>
          <w:iCs/>
          <w:color w:val="404040" w:themeColor="text1" w:themeTint="BF"/>
        </w:rPr>
      </w:pPr>
      <w:r w:rsidRPr="0096673C">
        <w:rPr>
          <w:rStyle w:val="SubtleEmphasis"/>
        </w:rPr>
        <w:t xml:space="preserve">Sustainable Diversion Limit (SDL) = Baseline Diversion Limit (BDL) </w:t>
      </w:r>
      <w:r w:rsidR="00B535EC" w:rsidRPr="0096673C">
        <w:rPr>
          <w:rStyle w:val="SubtleEmphasis"/>
        </w:rPr>
        <w:t>– Water</w:t>
      </w:r>
      <w:r w:rsidRPr="0096673C">
        <w:rPr>
          <w:rStyle w:val="SubtleEmphasis"/>
        </w:rPr>
        <w:t xml:space="preserve"> </w:t>
      </w:r>
      <w:r>
        <w:rPr>
          <w:rStyle w:val="SubtleEmphasis"/>
        </w:rPr>
        <w:t>R</w:t>
      </w:r>
      <w:r w:rsidRPr="0096673C">
        <w:rPr>
          <w:rStyle w:val="SubtleEmphasis"/>
        </w:rPr>
        <w:t xml:space="preserve">ecovery (local &amp; shared) </w:t>
      </w:r>
      <w:r w:rsidRPr="00EA0550">
        <w:rPr>
          <w:rStyle w:val="SubtleEmphasis"/>
          <w:b/>
          <w:bCs/>
        </w:rPr>
        <w:t>+ SDL adjustment</w:t>
      </w:r>
    </w:p>
    <w:p w14:paraId="734480E3" w14:textId="4BE46B0D" w:rsidR="00060E7F" w:rsidRDefault="00060E7F" w:rsidP="00D25538">
      <w:pPr>
        <w:jc w:val="both"/>
      </w:pPr>
      <w:r>
        <w:t xml:space="preserve">Therefore, a negative number for the </w:t>
      </w:r>
      <w:r w:rsidR="00101E9A">
        <w:t>‘</w:t>
      </w:r>
      <w:r>
        <w:t>SDL adjustment</w:t>
      </w:r>
      <w:r w:rsidR="00101E9A">
        <w:t>’ component of this equation</w:t>
      </w:r>
      <w:r>
        <w:t xml:space="preserve">, produces a lower SDL. </w:t>
      </w:r>
      <w:r w:rsidR="003D14E8">
        <w:t xml:space="preserve">This is shown in Potential Scenario 1 which produces an SDL adjustment of – 40.7 GL, and Potential Scenario </w:t>
      </w:r>
      <w:r w:rsidR="008E6DE2">
        <w:t>2</w:t>
      </w:r>
      <w:r w:rsidR="003D14E8">
        <w:t xml:space="preserve"> which produces an SDL adjustment of</w:t>
      </w:r>
      <w:r w:rsidR="001C50E3">
        <w:t xml:space="preserve"> – 110 GL. Put simply, if the full 450 GL is recovered, with just a 340 GL supply contribution, the SDL will be adjusted downwards by 110 GL. </w:t>
      </w:r>
    </w:p>
    <w:p w14:paraId="72DC94B4" w14:textId="3937D4F9" w:rsidR="00561DB7" w:rsidRDefault="00A25C63" w:rsidP="00D25538">
      <w:pPr>
        <w:jc w:val="both"/>
      </w:pPr>
      <w:r>
        <w:t xml:space="preserve">Given the purpose of SDLAM was to provide a mechanism to bridge the gap to achieve the SDL in a way that protects social and economic outcomes, </w:t>
      </w:r>
      <w:r w:rsidR="00307F4F">
        <w:t xml:space="preserve">the (increasingly likely) scenario that SDLAM will perversely serve to lower the SDL is </w:t>
      </w:r>
      <w:r w:rsidR="00B535EC">
        <w:t>concerning and</w:t>
      </w:r>
      <w:r w:rsidR="00307F4F">
        <w:t xml:space="preserve"> requires scrutiny by the MDBA. </w:t>
      </w:r>
    </w:p>
    <w:p w14:paraId="06BA8EB5" w14:textId="44CAEE6E" w:rsidR="00307F4F" w:rsidRDefault="00307F4F" w:rsidP="00B91321">
      <w:pPr>
        <w:jc w:val="center"/>
        <w:rPr>
          <w:b/>
          <w:bCs/>
          <w:i/>
          <w:iCs/>
          <w:color w:val="00538F" w:themeColor="accent1" w:themeShade="BF"/>
        </w:rPr>
      </w:pPr>
      <w:bookmarkStart w:id="11" w:name="OLE_LINK1"/>
      <w:r w:rsidRPr="00E9306E">
        <w:rPr>
          <w:b/>
          <w:bCs/>
          <w:i/>
          <w:iCs/>
          <w:color w:val="00538F" w:themeColor="accent1" w:themeShade="BF"/>
        </w:rPr>
        <w:t xml:space="preserve">Finding </w:t>
      </w:r>
      <w:r w:rsidR="00310F57">
        <w:rPr>
          <w:b/>
          <w:bCs/>
          <w:i/>
          <w:iCs/>
          <w:color w:val="00538F" w:themeColor="accent1" w:themeShade="BF"/>
        </w:rPr>
        <w:t>3</w:t>
      </w:r>
      <w:r w:rsidRPr="00E9306E">
        <w:rPr>
          <w:b/>
          <w:bCs/>
          <w:i/>
          <w:iCs/>
          <w:color w:val="00538F" w:themeColor="accent1" w:themeShade="BF"/>
        </w:rPr>
        <w:t xml:space="preserve">: The </w:t>
      </w:r>
      <w:bookmarkEnd w:id="11"/>
      <w:r>
        <w:rPr>
          <w:b/>
          <w:bCs/>
          <w:i/>
          <w:iCs/>
          <w:color w:val="00538F" w:themeColor="accent1" w:themeShade="BF"/>
        </w:rPr>
        <w:t>Final</w:t>
      </w:r>
      <w:r w:rsidRPr="00E9306E">
        <w:rPr>
          <w:b/>
          <w:bCs/>
          <w:i/>
          <w:iCs/>
          <w:color w:val="00538F" w:themeColor="accent1" w:themeShade="BF"/>
        </w:rPr>
        <w:t xml:space="preserve"> Determination</w:t>
      </w:r>
      <w:r>
        <w:rPr>
          <w:b/>
          <w:bCs/>
          <w:i/>
          <w:iCs/>
          <w:color w:val="00538F" w:themeColor="accent1" w:themeShade="BF"/>
        </w:rPr>
        <w:t xml:space="preserve"> is at risk of producing a negative SDL adjustment due to ongoing </w:t>
      </w:r>
      <w:r w:rsidRPr="38DA57BB">
        <w:rPr>
          <w:b/>
          <w:bCs/>
          <w:i/>
          <w:iCs/>
          <w:color w:val="00538F" w:themeColor="accent1" w:themeShade="BF"/>
        </w:rPr>
        <w:t>recover</w:t>
      </w:r>
      <w:r w:rsidR="52238864" w:rsidRPr="38DA57BB">
        <w:rPr>
          <w:b/>
          <w:bCs/>
          <w:i/>
          <w:iCs/>
          <w:color w:val="00538F" w:themeColor="accent1" w:themeShade="BF"/>
        </w:rPr>
        <w:t>y</w:t>
      </w:r>
      <w:r>
        <w:rPr>
          <w:b/>
          <w:bCs/>
          <w:i/>
          <w:iCs/>
          <w:color w:val="00538F" w:themeColor="accent1" w:themeShade="BF"/>
        </w:rPr>
        <w:t xml:space="preserve"> towards the 450 GL </w:t>
      </w:r>
      <w:r w:rsidR="00B91321">
        <w:rPr>
          <w:b/>
          <w:bCs/>
          <w:i/>
          <w:iCs/>
          <w:color w:val="00538F" w:themeColor="accent1" w:themeShade="BF"/>
        </w:rPr>
        <w:t>exceeding the supply contribution</w:t>
      </w:r>
      <w:r w:rsidR="00824354">
        <w:rPr>
          <w:b/>
          <w:bCs/>
          <w:i/>
          <w:iCs/>
          <w:color w:val="00538F" w:themeColor="accent1" w:themeShade="BF"/>
        </w:rPr>
        <w:t>. This is counter to the original policy objective of SDLAM to</w:t>
      </w:r>
      <w:r w:rsidR="00824354" w:rsidRPr="00D073A8">
        <w:rPr>
          <w:color w:val="00538F" w:themeColor="accent1" w:themeShade="BF"/>
        </w:rPr>
        <w:t xml:space="preserve"> </w:t>
      </w:r>
      <w:r w:rsidR="27545833">
        <w:t>offset water recovery options and</w:t>
      </w:r>
      <w:r w:rsidR="27545833" w:rsidRPr="00D073A8">
        <w:rPr>
          <w:color w:val="00538F" w:themeColor="accent1" w:themeShade="BF"/>
        </w:rPr>
        <w:t xml:space="preserve"> </w:t>
      </w:r>
      <w:r w:rsidR="00824354">
        <w:rPr>
          <w:b/>
          <w:bCs/>
          <w:i/>
          <w:iCs/>
          <w:color w:val="00538F" w:themeColor="accent1" w:themeShade="BF"/>
        </w:rPr>
        <w:t xml:space="preserve">mitigate social and economic impacts. </w:t>
      </w:r>
    </w:p>
    <w:p w14:paraId="26E9DD4A" w14:textId="507BBA2E" w:rsidR="00824354" w:rsidRDefault="005A2502" w:rsidP="005A2502">
      <w:pPr>
        <w:jc w:val="both"/>
      </w:pPr>
      <w:r>
        <w:t xml:space="preserve">Further from this, </w:t>
      </w:r>
      <w:r w:rsidR="0059584C">
        <w:t xml:space="preserve">while ‘potential scenario 2’ produces a result in which the SDL will be adjusted downwards by 110 GL, it is important to note that the SDLs currently operating in the Southern Basin are already SDLAM-adjusted. </w:t>
      </w:r>
      <w:r w:rsidR="008778B1">
        <w:t xml:space="preserve">Therefore, the impact in a practical sense to </w:t>
      </w:r>
      <w:r w:rsidR="00BD655F">
        <w:t>industry</w:t>
      </w:r>
      <w:r w:rsidR="008778B1">
        <w:t xml:space="preserve"> is not just 110 GL downwards of the SDL, but also the loss of the positive </w:t>
      </w:r>
      <w:r w:rsidR="009B1B17">
        <w:t>adjustment</w:t>
      </w:r>
      <w:r w:rsidR="008778B1">
        <w:t xml:space="preserve"> </w:t>
      </w:r>
      <w:r w:rsidR="00BD655F">
        <w:t>that is currently in effect in the Southern Basin. The actual extent of this number</w:t>
      </w:r>
      <w:r w:rsidR="00BE6050">
        <w:t xml:space="preserve"> should be published by the MDBA, so that users and decision-makers can understand the full extent of the potential risks and associated impacts</w:t>
      </w:r>
      <w:r w:rsidR="004C097F">
        <w:t>, compared to the status quo</w:t>
      </w:r>
      <w:r w:rsidR="00BE6050">
        <w:t xml:space="preserve">. </w:t>
      </w:r>
    </w:p>
    <w:p w14:paraId="70DC548E" w14:textId="2652DD32" w:rsidR="005A2502" w:rsidRDefault="005B74E0" w:rsidP="004C097F">
      <w:pPr>
        <w:jc w:val="both"/>
      </w:pPr>
      <w:r>
        <w:t>As an indication, g</w:t>
      </w:r>
      <w:r w:rsidR="005A2502">
        <w:t xml:space="preserve">iven the </w:t>
      </w:r>
      <w:r w:rsidR="004C097F">
        <w:t>best-case</w:t>
      </w:r>
      <w:r w:rsidR="005A2502">
        <w:t xml:space="preserve"> scenario was a positive adjustment by 543 GL, such an outcome</w:t>
      </w:r>
      <w:r>
        <w:t xml:space="preserve"> of a negative adjustment by 110 GL,</w:t>
      </w:r>
      <w:r w:rsidR="005A2502">
        <w:t xml:space="preserve"> would be 653 GL less than what could have been under the best-case scenario. </w:t>
      </w:r>
      <w:r w:rsidR="00CB700B">
        <w:t xml:space="preserve">Note: SDLs have varied over time as recovery of additional HEW occurs.  </w:t>
      </w:r>
    </w:p>
    <w:p w14:paraId="701CA6C7" w14:textId="03E85AF1" w:rsidR="00AA20F7" w:rsidRPr="004C097F" w:rsidRDefault="00AA20F7" w:rsidP="00AA20F7">
      <w:pPr>
        <w:jc w:val="center"/>
      </w:pPr>
      <w:r>
        <w:rPr>
          <w:b/>
          <w:bCs/>
          <w:i/>
          <w:iCs/>
          <w:color w:val="00538F" w:themeColor="accent1" w:themeShade="BF"/>
        </w:rPr>
        <w:t>Recommendation</w:t>
      </w:r>
      <w:r w:rsidRPr="00E9306E">
        <w:rPr>
          <w:b/>
          <w:bCs/>
          <w:i/>
          <w:iCs/>
          <w:color w:val="00538F" w:themeColor="accent1" w:themeShade="BF"/>
        </w:rPr>
        <w:t xml:space="preserve"> </w:t>
      </w:r>
      <w:r>
        <w:rPr>
          <w:b/>
          <w:bCs/>
          <w:i/>
          <w:iCs/>
          <w:color w:val="00538F" w:themeColor="accent1" w:themeShade="BF"/>
        </w:rPr>
        <w:t>1</w:t>
      </w:r>
      <w:r w:rsidRPr="00E9306E">
        <w:rPr>
          <w:b/>
          <w:bCs/>
          <w:i/>
          <w:iCs/>
          <w:color w:val="00538F" w:themeColor="accent1" w:themeShade="BF"/>
        </w:rPr>
        <w:t xml:space="preserve">: The </w:t>
      </w:r>
      <w:r>
        <w:rPr>
          <w:b/>
          <w:bCs/>
          <w:i/>
          <w:iCs/>
          <w:color w:val="00538F" w:themeColor="accent1" w:themeShade="BF"/>
        </w:rPr>
        <w:t>MDBA publish further information to show the full extent of change</w:t>
      </w:r>
      <w:r w:rsidR="001336A5">
        <w:rPr>
          <w:b/>
          <w:bCs/>
          <w:i/>
          <w:iCs/>
          <w:color w:val="00538F" w:themeColor="accent1" w:themeShade="BF"/>
        </w:rPr>
        <w:t xml:space="preserve"> at both a Basin and water source scale of the SDLAM Reconciliation, </w:t>
      </w:r>
      <w:r w:rsidR="008B36DA">
        <w:rPr>
          <w:b/>
          <w:bCs/>
          <w:i/>
          <w:iCs/>
          <w:color w:val="00538F" w:themeColor="accent1" w:themeShade="BF"/>
        </w:rPr>
        <w:t>showing a comparison t</w:t>
      </w:r>
      <w:r w:rsidR="001336A5">
        <w:rPr>
          <w:b/>
          <w:bCs/>
          <w:i/>
          <w:iCs/>
          <w:color w:val="00538F" w:themeColor="accent1" w:themeShade="BF"/>
        </w:rPr>
        <w:t>o a current</w:t>
      </w:r>
      <w:r w:rsidR="008B36DA">
        <w:rPr>
          <w:b/>
          <w:bCs/>
          <w:i/>
          <w:iCs/>
          <w:color w:val="00538F" w:themeColor="accent1" w:themeShade="BF"/>
        </w:rPr>
        <w:t xml:space="preserve"> SDL scenario</w:t>
      </w:r>
      <w:r w:rsidR="001336A5">
        <w:rPr>
          <w:b/>
          <w:bCs/>
          <w:i/>
          <w:iCs/>
          <w:color w:val="00538F" w:themeColor="accent1" w:themeShade="BF"/>
        </w:rPr>
        <w:t>, and original Basin Plan SDL</w:t>
      </w:r>
      <w:r w:rsidR="005A3099">
        <w:rPr>
          <w:b/>
          <w:bCs/>
          <w:i/>
          <w:iCs/>
          <w:color w:val="00538F" w:themeColor="accent1" w:themeShade="BF"/>
        </w:rPr>
        <w:t xml:space="preserve"> scenario</w:t>
      </w:r>
      <w:r w:rsidR="001336A5">
        <w:rPr>
          <w:b/>
          <w:bCs/>
          <w:i/>
          <w:iCs/>
          <w:color w:val="00538F" w:themeColor="accent1" w:themeShade="BF"/>
        </w:rPr>
        <w:t>.</w:t>
      </w:r>
      <w:r w:rsidR="005A3099">
        <w:rPr>
          <w:b/>
          <w:bCs/>
          <w:i/>
          <w:iCs/>
          <w:color w:val="00538F" w:themeColor="accent1" w:themeShade="BF"/>
        </w:rPr>
        <w:t xml:space="preserve"> This is essential for decision-makers to understand and assess the impacts</w:t>
      </w:r>
      <w:r w:rsidR="003B3913">
        <w:rPr>
          <w:b/>
          <w:bCs/>
          <w:i/>
          <w:iCs/>
          <w:color w:val="00538F" w:themeColor="accent1" w:themeShade="BF"/>
        </w:rPr>
        <w:t xml:space="preserve"> (and costs)</w:t>
      </w:r>
      <w:r w:rsidR="005A3099">
        <w:rPr>
          <w:b/>
          <w:bCs/>
          <w:i/>
          <w:iCs/>
          <w:color w:val="00538F" w:themeColor="accent1" w:themeShade="BF"/>
        </w:rPr>
        <w:t xml:space="preserve">, as well as for water users to understand risks. </w:t>
      </w:r>
    </w:p>
    <w:p w14:paraId="2ED8701C" w14:textId="77777777" w:rsidR="00E266A1" w:rsidRDefault="00E266A1" w:rsidP="00B91321">
      <w:pPr>
        <w:jc w:val="center"/>
        <w:rPr>
          <w:b/>
          <w:bCs/>
          <w:i/>
          <w:iCs/>
          <w:color w:val="00538F" w:themeColor="accent1" w:themeShade="BF"/>
        </w:rPr>
      </w:pPr>
    </w:p>
    <w:p w14:paraId="4A1AEF49" w14:textId="6D45702C" w:rsidR="00E266A1" w:rsidRDefault="00E266A1" w:rsidP="00E266A1">
      <w:pPr>
        <w:pStyle w:val="Heading2"/>
      </w:pPr>
      <w:bookmarkStart w:id="12" w:name="_Toc243660154"/>
      <w:r>
        <w:t>Understanding what the SDLAM Reconciliation may mean for each water source</w:t>
      </w:r>
      <w:bookmarkEnd w:id="12"/>
    </w:p>
    <w:p w14:paraId="5D060796" w14:textId="3B0737E6" w:rsidR="00E266A1" w:rsidRDefault="00E266A1" w:rsidP="00A87DD2">
      <w:pPr>
        <w:jc w:val="both"/>
      </w:pPr>
      <w:r>
        <w:t>One of the most frequently asked questions during this consultation has been what impact the SDLAM reconciliation will have, in a practical sense</w:t>
      </w:r>
      <w:r w:rsidR="00D5441E">
        <w:t xml:space="preserve">. </w:t>
      </w:r>
      <w:r w:rsidR="00124E6C">
        <w:t xml:space="preserve">Water users want to know the material impacts that the reconciliation may produce, at both a Basin and valley-scale. This material change </w:t>
      </w:r>
      <w:r w:rsidR="00B535EC">
        <w:t>from the status quo</w:t>
      </w:r>
      <w:r w:rsidR="00124E6C">
        <w:t xml:space="preserve"> to a future post SDLAM reconciliation, is also critical for decision-makers to understand the practical ramifications</w:t>
      </w:r>
      <w:r w:rsidR="00EF567F">
        <w:t xml:space="preserve"> of decision-making. </w:t>
      </w:r>
    </w:p>
    <w:p w14:paraId="034E8278" w14:textId="726876A4" w:rsidR="00D5441E" w:rsidRDefault="00D5441E" w:rsidP="00A87DD2">
      <w:pPr>
        <w:jc w:val="both"/>
      </w:pPr>
      <w:r>
        <w:t xml:space="preserve">NIC is concerned that the technical complexity of the consultation documents has meant many stakeholders were left </w:t>
      </w:r>
      <w:r w:rsidR="00B535EC">
        <w:t>confused and</w:t>
      </w:r>
      <w:r>
        <w:t xml:space="preserve"> not understanding the ramification of what</w:t>
      </w:r>
      <w:r w:rsidR="00A87DD2">
        <w:t xml:space="preserve"> the</w:t>
      </w:r>
      <w:r>
        <w:t xml:space="preserve"> SDLAM reconciliation may mean in practice.  NIC is concerned if that confusion extends to decision makers, </w:t>
      </w:r>
      <w:r w:rsidR="00B535EC">
        <w:t>who</w:t>
      </w:r>
      <w:r>
        <w:t xml:space="preserve"> may not realise the true extent of what</w:t>
      </w:r>
      <w:r w:rsidR="00A87DD2">
        <w:t xml:space="preserve"> future decisions may be ahead.</w:t>
      </w:r>
    </w:p>
    <w:p w14:paraId="1FCE55C0" w14:textId="21A451F9" w:rsidR="00436653" w:rsidRDefault="00436653" w:rsidP="00A87DD2">
      <w:pPr>
        <w:jc w:val="both"/>
      </w:pPr>
      <w:r>
        <w:t>NIC has compiled our understanding of the risks posed to each SDL resource unit in Table 5</w:t>
      </w:r>
      <w:r w:rsidR="004D483E">
        <w:t>, which compiles the above information</w:t>
      </w:r>
      <w:r>
        <w:t>. Table 5 shows</w:t>
      </w:r>
      <w:r w:rsidR="007B1A85">
        <w:t xml:space="preserve"> the water sources with </w:t>
      </w:r>
      <w:r w:rsidR="003701A0">
        <w:t>remaining</w:t>
      </w:r>
      <w:r w:rsidR="007B1A85">
        <w:t xml:space="preserve"> Bridging the Gap</w:t>
      </w:r>
      <w:r w:rsidR="003701A0">
        <w:t xml:space="preserve"> recovery,</w:t>
      </w:r>
      <w:r w:rsidR="007B1A85">
        <w:t xml:space="preserve"> through both </w:t>
      </w:r>
      <w:r w:rsidR="003701A0">
        <w:t xml:space="preserve">existing </w:t>
      </w:r>
      <w:r w:rsidR="00B535EC">
        <w:t>under-recoveries</w:t>
      </w:r>
      <w:r w:rsidR="003701A0">
        <w:t xml:space="preserve">, and the </w:t>
      </w:r>
      <w:r w:rsidR="004D483E">
        <w:t xml:space="preserve">proposed </w:t>
      </w:r>
      <w:r w:rsidR="003701A0">
        <w:t xml:space="preserve">supply shortfalls </w:t>
      </w:r>
      <w:r w:rsidR="004D483E">
        <w:t xml:space="preserve">(as per Figure 3). Table 5 also shows the </w:t>
      </w:r>
      <w:r w:rsidR="00BC6CDB">
        <w:t>contributions towards the 450 GL. The risks for each water source are therefore:</w:t>
      </w:r>
    </w:p>
    <w:p w14:paraId="41C02683" w14:textId="2C25AF21" w:rsidR="00BC6CDB" w:rsidRDefault="00BC6CDB" w:rsidP="00BC6CDB">
      <w:pPr>
        <w:pStyle w:val="ListParagraph"/>
        <w:numPr>
          <w:ilvl w:val="0"/>
          <w:numId w:val="12"/>
        </w:numPr>
        <w:jc w:val="both"/>
      </w:pPr>
      <w:r>
        <w:t xml:space="preserve">Orange shaded cells </w:t>
      </w:r>
      <w:r w:rsidR="003749D3">
        <w:t xml:space="preserve">(where applicable) </w:t>
      </w:r>
      <w:r>
        <w:t xml:space="preserve">– with remaining </w:t>
      </w:r>
      <w:r w:rsidRPr="00BC6CDB">
        <w:t>Bridging the Gap (supply shortfall + under-recovery)</w:t>
      </w:r>
      <w:r w:rsidR="00807A8B">
        <w:t xml:space="preserve">, with a total of </w:t>
      </w:r>
      <w:r w:rsidR="00807A8B" w:rsidRPr="00807A8B">
        <w:t>270.2 GL</w:t>
      </w:r>
      <w:r w:rsidR="00807A8B">
        <w:t xml:space="preserve"> Basin-wide</w:t>
      </w:r>
    </w:p>
    <w:p w14:paraId="39B0BCEF" w14:textId="5AAE9D82" w:rsidR="00BC6CDB" w:rsidRDefault="003749D3" w:rsidP="00BC6CDB">
      <w:pPr>
        <w:pStyle w:val="ListParagraph"/>
        <w:numPr>
          <w:ilvl w:val="0"/>
          <w:numId w:val="12"/>
        </w:numPr>
        <w:jc w:val="both"/>
      </w:pPr>
      <w:r>
        <w:t xml:space="preserve">Potential recovery of the remaining </w:t>
      </w:r>
      <w:r w:rsidR="00B77599">
        <w:t>~</w:t>
      </w:r>
      <w:r>
        <w:t xml:space="preserve">228.7 GL </w:t>
      </w:r>
      <w:r w:rsidR="00B77599">
        <w:t xml:space="preserve">of the 450 GL </w:t>
      </w:r>
      <w:r>
        <w:t xml:space="preserve">– </w:t>
      </w:r>
      <w:r w:rsidR="0060154F">
        <w:t>across</w:t>
      </w:r>
      <w:r>
        <w:t xml:space="preserve"> water source</w:t>
      </w:r>
      <w:r w:rsidR="0060154F">
        <w:t>s</w:t>
      </w:r>
      <w:r>
        <w:t xml:space="preserve">. </w:t>
      </w:r>
    </w:p>
    <w:p w14:paraId="3479C7B1" w14:textId="4905675F" w:rsidR="003B3913" w:rsidRDefault="00163369" w:rsidP="003B3913">
      <w:pPr>
        <w:jc w:val="both"/>
      </w:pPr>
      <w:r>
        <w:t xml:space="preserve">As part of Recommendation 1, </w:t>
      </w:r>
      <w:r w:rsidR="00B77599">
        <w:t xml:space="preserve">NIC recommend that the MDBA publishes a document </w:t>
      </w:r>
      <w:r w:rsidR="00CF7F93">
        <w:t>of this kind, so that the full extent of potential impacts for each water source can be transparently shown.</w:t>
      </w:r>
      <w:r w:rsidR="00275151">
        <w:t xml:space="preserve"> </w:t>
      </w:r>
      <w:r>
        <w:t>A</w:t>
      </w:r>
      <w:r w:rsidR="005F02AE">
        <w:t xml:space="preserve"> final column</w:t>
      </w:r>
      <w:r w:rsidR="00275151">
        <w:t xml:space="preserve"> should also</w:t>
      </w:r>
      <w:r w:rsidR="005F02AE">
        <w:t xml:space="preserve"> be included, </w:t>
      </w:r>
      <w:r w:rsidR="00275151">
        <w:t>to</w:t>
      </w:r>
      <w:r w:rsidR="005F02AE">
        <w:t xml:space="preserve"> show the current SDL adjustment, </w:t>
      </w:r>
      <w:r w:rsidR="00275151">
        <w:t xml:space="preserve">alongside the new </w:t>
      </w:r>
      <w:r w:rsidR="005F02AE">
        <w:t>proposed SDL adjustment</w:t>
      </w:r>
      <w:r w:rsidR="00275151">
        <w:t>, as well as quantification of the magnitude of change – so it</w:t>
      </w:r>
      <w:r w:rsidR="005F02AE">
        <w:t xml:space="preserve"> can be considered in the context of the proposed change. </w:t>
      </w:r>
    </w:p>
    <w:p w14:paraId="1DE2D4E3" w14:textId="00FC58A1" w:rsidR="003B3913" w:rsidRDefault="003B3913" w:rsidP="00A607FF">
      <w:pPr>
        <w:jc w:val="center"/>
        <w:rPr>
          <w:b/>
          <w:bCs/>
          <w:i/>
          <w:iCs/>
          <w:color w:val="00538F" w:themeColor="accent1" w:themeShade="BF"/>
        </w:rPr>
      </w:pPr>
      <w:r w:rsidRPr="00E9306E">
        <w:rPr>
          <w:b/>
          <w:bCs/>
          <w:i/>
          <w:iCs/>
          <w:color w:val="00538F" w:themeColor="accent1" w:themeShade="BF"/>
        </w:rPr>
        <w:t xml:space="preserve">Finding </w:t>
      </w:r>
      <w:r>
        <w:rPr>
          <w:b/>
          <w:bCs/>
          <w:i/>
          <w:iCs/>
          <w:color w:val="00538F" w:themeColor="accent1" w:themeShade="BF"/>
        </w:rPr>
        <w:t>4</w:t>
      </w:r>
      <w:r w:rsidRPr="00E9306E">
        <w:rPr>
          <w:b/>
          <w:bCs/>
          <w:i/>
          <w:iCs/>
          <w:color w:val="00538F" w:themeColor="accent1" w:themeShade="BF"/>
        </w:rPr>
        <w:t xml:space="preserve">: </w:t>
      </w:r>
      <w:r w:rsidR="5BB5EF26" w:rsidRPr="0091131D">
        <w:rPr>
          <w:b/>
          <w:bCs/>
          <w:i/>
          <w:iCs/>
          <w:color w:val="00538F" w:themeColor="accent1" w:themeShade="BF"/>
        </w:rPr>
        <w:t xml:space="preserve"> If taking a simplified numerical approach, viewing the remainder of the implementation of the Basin Plan as simply water recovery targets - Basin community's risk losing a further ~500 GL. That is a further: 270.2 GL from Bridging the Gap (under-recovery and supply shortfall); and 228.7 of additional HEW (if the full 450 GL is pursued).</w:t>
      </w:r>
    </w:p>
    <w:p w14:paraId="07EF3030" w14:textId="77777777" w:rsidR="00A607FF" w:rsidRDefault="00A607FF" w:rsidP="00A607FF">
      <w:pPr>
        <w:jc w:val="center"/>
        <w:rPr>
          <w:b/>
          <w:bCs/>
          <w:i/>
          <w:iCs/>
          <w:color w:val="00538F" w:themeColor="accent1" w:themeShade="BF"/>
        </w:rPr>
      </w:pPr>
    </w:p>
    <w:p w14:paraId="7E844F4C" w14:textId="18FE74E2" w:rsidR="005E55D3" w:rsidRDefault="00A607FF" w:rsidP="005E55D3">
      <w:pPr>
        <w:jc w:val="center"/>
        <w:rPr>
          <w:b/>
          <w:bCs/>
          <w:i/>
          <w:iCs/>
          <w:color w:val="00538F" w:themeColor="accent1" w:themeShade="BF"/>
        </w:rPr>
      </w:pPr>
      <w:r w:rsidRPr="00E9306E">
        <w:rPr>
          <w:b/>
          <w:bCs/>
          <w:i/>
          <w:iCs/>
          <w:color w:val="00538F" w:themeColor="accent1" w:themeShade="BF"/>
        </w:rPr>
        <w:t xml:space="preserve">Finding </w:t>
      </w:r>
      <w:r>
        <w:rPr>
          <w:b/>
          <w:bCs/>
          <w:i/>
          <w:iCs/>
          <w:color w:val="00538F" w:themeColor="accent1" w:themeShade="BF"/>
        </w:rPr>
        <w:t>5</w:t>
      </w:r>
      <w:r w:rsidRPr="00E9306E">
        <w:rPr>
          <w:b/>
          <w:bCs/>
          <w:i/>
          <w:iCs/>
          <w:color w:val="00538F" w:themeColor="accent1" w:themeShade="BF"/>
        </w:rPr>
        <w:t xml:space="preserve">: </w:t>
      </w:r>
      <w:r>
        <w:rPr>
          <w:b/>
          <w:bCs/>
          <w:i/>
          <w:iCs/>
          <w:color w:val="00538F" w:themeColor="accent1" w:themeShade="BF"/>
        </w:rPr>
        <w:t xml:space="preserve">If taking a proper outcomes-based approach, </w:t>
      </w:r>
      <w:r w:rsidR="361B44C8" w:rsidRPr="2CE15FF3">
        <w:rPr>
          <w:b/>
          <w:bCs/>
          <w:i/>
          <w:iCs/>
          <w:color w:val="00538F" w:themeColor="accent1" w:themeShade="BF"/>
        </w:rPr>
        <w:t xml:space="preserve">focusing </w:t>
      </w:r>
      <w:r w:rsidR="00173BE9">
        <w:rPr>
          <w:b/>
          <w:bCs/>
          <w:i/>
          <w:iCs/>
          <w:color w:val="00538F" w:themeColor="accent1" w:themeShade="BF"/>
        </w:rPr>
        <w:t xml:space="preserve">“full implementation” of the Basin Plan </w:t>
      </w:r>
      <w:r w:rsidR="3F6DDC80" w:rsidRPr="3CFF5744">
        <w:rPr>
          <w:b/>
          <w:bCs/>
          <w:i/>
          <w:iCs/>
          <w:color w:val="00538F" w:themeColor="accent1" w:themeShade="BF"/>
        </w:rPr>
        <w:t xml:space="preserve">back to its core objective </w:t>
      </w:r>
      <w:r w:rsidR="3F6DDC80" w:rsidRPr="7C763560">
        <w:rPr>
          <w:b/>
          <w:bCs/>
          <w:i/>
          <w:iCs/>
          <w:color w:val="00538F" w:themeColor="accent1" w:themeShade="BF"/>
        </w:rPr>
        <w:t xml:space="preserve">of </w:t>
      </w:r>
      <w:r w:rsidR="00173BE9">
        <w:rPr>
          <w:b/>
          <w:bCs/>
          <w:i/>
          <w:iCs/>
          <w:color w:val="00538F" w:themeColor="accent1" w:themeShade="BF"/>
        </w:rPr>
        <w:t xml:space="preserve"> </w:t>
      </w:r>
      <w:r>
        <w:rPr>
          <w:b/>
          <w:bCs/>
          <w:i/>
          <w:iCs/>
          <w:color w:val="00538F" w:themeColor="accent1" w:themeShade="BF"/>
        </w:rPr>
        <w:t xml:space="preserve">reducing water usage to comply with the </w:t>
      </w:r>
      <w:r w:rsidR="00173BE9">
        <w:rPr>
          <w:b/>
          <w:bCs/>
          <w:i/>
          <w:iCs/>
          <w:color w:val="00538F" w:themeColor="accent1" w:themeShade="BF"/>
        </w:rPr>
        <w:t xml:space="preserve">SDLs, </w:t>
      </w:r>
      <w:r w:rsidR="00276B38">
        <w:rPr>
          <w:b/>
          <w:bCs/>
          <w:i/>
          <w:iCs/>
          <w:color w:val="00538F" w:themeColor="accent1" w:themeShade="BF"/>
        </w:rPr>
        <w:t xml:space="preserve">then full implementation has been achieved </w:t>
      </w:r>
      <w:r w:rsidR="00E97138">
        <w:rPr>
          <w:b/>
          <w:bCs/>
          <w:i/>
          <w:iCs/>
          <w:color w:val="00538F" w:themeColor="accent1" w:themeShade="BF"/>
        </w:rPr>
        <w:t>when</w:t>
      </w:r>
      <w:r w:rsidR="00774C4C">
        <w:rPr>
          <w:b/>
          <w:bCs/>
          <w:i/>
          <w:iCs/>
          <w:color w:val="00538F" w:themeColor="accent1" w:themeShade="BF"/>
        </w:rPr>
        <w:t xml:space="preserve"> the SDL-adjustment is </w:t>
      </w:r>
      <w:r w:rsidR="00E97138">
        <w:rPr>
          <w:b/>
          <w:bCs/>
          <w:i/>
          <w:iCs/>
          <w:color w:val="00538F" w:themeColor="accent1" w:themeShade="BF"/>
        </w:rPr>
        <w:t>neutral</w:t>
      </w:r>
      <w:r w:rsidR="00774C4C">
        <w:rPr>
          <w:b/>
          <w:bCs/>
          <w:i/>
          <w:iCs/>
          <w:color w:val="00538F" w:themeColor="accent1" w:themeShade="BF"/>
        </w:rPr>
        <w:t xml:space="preserve"> (i.e. 340 GL of additional HEW, assuming a 340 GL supply contribution</w:t>
      </w:r>
      <w:r w:rsidR="00854BFD">
        <w:rPr>
          <w:b/>
          <w:bCs/>
          <w:i/>
          <w:iCs/>
          <w:color w:val="00538F" w:themeColor="accent1" w:themeShade="BF"/>
        </w:rPr>
        <w:t>), provided local and shared</w:t>
      </w:r>
      <w:r w:rsidR="00854BFD" w:rsidRPr="00854BFD">
        <w:rPr>
          <w:b/>
          <w:bCs/>
          <w:i/>
          <w:iCs/>
          <w:color w:val="00538F" w:themeColor="accent1" w:themeShade="BF"/>
        </w:rPr>
        <w:t xml:space="preserve"> </w:t>
      </w:r>
      <w:r w:rsidR="00854BFD">
        <w:rPr>
          <w:b/>
          <w:bCs/>
          <w:i/>
          <w:iCs/>
          <w:color w:val="00538F" w:themeColor="accent1" w:themeShade="BF"/>
        </w:rPr>
        <w:t>w</w:t>
      </w:r>
      <w:r w:rsidR="00854BFD" w:rsidRPr="00854BFD">
        <w:rPr>
          <w:b/>
          <w:bCs/>
          <w:i/>
          <w:iCs/>
          <w:color w:val="00538F" w:themeColor="accent1" w:themeShade="BF"/>
        </w:rPr>
        <w:t xml:space="preserve">ater </w:t>
      </w:r>
      <w:r w:rsidR="00854BFD">
        <w:rPr>
          <w:b/>
          <w:bCs/>
          <w:i/>
          <w:iCs/>
          <w:color w:val="00538F" w:themeColor="accent1" w:themeShade="BF"/>
        </w:rPr>
        <w:t>r</w:t>
      </w:r>
      <w:r w:rsidR="00854BFD" w:rsidRPr="00854BFD">
        <w:rPr>
          <w:b/>
          <w:bCs/>
          <w:i/>
          <w:iCs/>
          <w:color w:val="00538F" w:themeColor="accent1" w:themeShade="BF"/>
        </w:rPr>
        <w:t xml:space="preserve">ecovery </w:t>
      </w:r>
      <w:r w:rsidR="00854BFD">
        <w:rPr>
          <w:b/>
          <w:bCs/>
          <w:i/>
          <w:iCs/>
          <w:color w:val="00538F" w:themeColor="accent1" w:themeShade="BF"/>
        </w:rPr>
        <w:t xml:space="preserve">is complete. Note: this has now largely occurred. </w:t>
      </w:r>
    </w:p>
    <w:p w14:paraId="04F51213" w14:textId="77777777" w:rsidR="005E55D3" w:rsidRDefault="005E55D3" w:rsidP="00276B38">
      <w:pPr>
        <w:jc w:val="center"/>
        <w:rPr>
          <w:b/>
          <w:bCs/>
          <w:i/>
          <w:iCs/>
          <w:color w:val="00538F" w:themeColor="accent1" w:themeShade="BF"/>
        </w:rPr>
      </w:pPr>
    </w:p>
    <w:p w14:paraId="26AFB2C4" w14:textId="781AADA4" w:rsidR="005E55D3" w:rsidRPr="00A607FF" w:rsidRDefault="005E55D3" w:rsidP="00276B38">
      <w:pPr>
        <w:jc w:val="center"/>
        <w:rPr>
          <w:b/>
          <w:bCs/>
          <w:i/>
          <w:iCs/>
          <w:color w:val="00538F" w:themeColor="accent1" w:themeShade="BF"/>
        </w:rPr>
        <w:sectPr w:rsidR="005E55D3" w:rsidRPr="00A607FF" w:rsidSect="0000113D">
          <w:footerReference w:type="default" r:id="rId18"/>
          <w:pgSz w:w="11906" w:h="16838"/>
          <w:pgMar w:top="1440" w:right="1440" w:bottom="1440" w:left="1440" w:header="708" w:footer="708" w:gutter="0"/>
          <w:pgNumType w:start="0"/>
          <w:cols w:space="708"/>
          <w:titlePg/>
          <w:docGrid w:linePitch="360"/>
        </w:sectPr>
      </w:pPr>
      <w:r w:rsidRPr="00E9306E">
        <w:rPr>
          <w:b/>
          <w:bCs/>
          <w:i/>
          <w:iCs/>
          <w:color w:val="00538F" w:themeColor="accent1" w:themeShade="BF"/>
        </w:rPr>
        <w:t xml:space="preserve">Finding </w:t>
      </w:r>
      <w:r>
        <w:rPr>
          <w:b/>
          <w:bCs/>
          <w:i/>
          <w:iCs/>
          <w:color w:val="00538F" w:themeColor="accent1" w:themeShade="BF"/>
        </w:rPr>
        <w:t>6</w:t>
      </w:r>
      <w:r w:rsidRPr="00E9306E">
        <w:rPr>
          <w:b/>
          <w:bCs/>
          <w:i/>
          <w:iCs/>
          <w:color w:val="00538F" w:themeColor="accent1" w:themeShade="BF"/>
        </w:rPr>
        <w:t>:</w:t>
      </w:r>
      <w:r>
        <w:rPr>
          <w:b/>
          <w:bCs/>
          <w:i/>
          <w:iCs/>
          <w:color w:val="00538F" w:themeColor="accent1" w:themeShade="BF"/>
        </w:rPr>
        <w:t xml:space="preserve"> If the supply contribution is </w:t>
      </w:r>
      <w:r w:rsidR="009C251D">
        <w:rPr>
          <w:b/>
          <w:bCs/>
          <w:i/>
          <w:iCs/>
          <w:color w:val="00538F" w:themeColor="accent1" w:themeShade="BF"/>
        </w:rPr>
        <w:t xml:space="preserve">only </w:t>
      </w:r>
      <w:r>
        <w:rPr>
          <w:b/>
          <w:bCs/>
          <w:i/>
          <w:iCs/>
          <w:color w:val="00538F" w:themeColor="accent1" w:themeShade="BF"/>
        </w:rPr>
        <w:t>340 GL, any further recovery of additional HEW beyond 340 GL, is going beyond implementing the Basin Plan “in full”</w:t>
      </w:r>
      <w:r w:rsidR="00370BB7">
        <w:rPr>
          <w:b/>
          <w:bCs/>
          <w:i/>
          <w:iCs/>
          <w:color w:val="00538F" w:themeColor="accent1" w:themeShade="BF"/>
        </w:rPr>
        <w:t xml:space="preserve"> from an SDL perspective</w:t>
      </w:r>
      <w:r>
        <w:rPr>
          <w:b/>
          <w:bCs/>
          <w:i/>
          <w:iCs/>
          <w:color w:val="00538F" w:themeColor="accent1" w:themeShade="BF"/>
        </w:rPr>
        <w:t xml:space="preserve">. </w:t>
      </w:r>
    </w:p>
    <w:p w14:paraId="73DB469D" w14:textId="3FEF9A19" w:rsidR="00A8117C" w:rsidRPr="00986285" w:rsidRDefault="007775E9" w:rsidP="00E266A1">
      <w:pPr>
        <w:rPr>
          <w:i/>
          <w:iCs/>
          <w:color w:val="808080" w:themeColor="background1" w:themeShade="80"/>
        </w:rPr>
      </w:pPr>
      <w:r w:rsidRPr="00986285">
        <w:rPr>
          <w:i/>
          <w:iCs/>
          <w:color w:val="808080" w:themeColor="background1" w:themeShade="80"/>
        </w:rPr>
        <w:t xml:space="preserve">Table </w:t>
      </w:r>
      <w:r w:rsidR="0098787A" w:rsidRPr="00986285">
        <w:rPr>
          <w:i/>
          <w:iCs/>
          <w:color w:val="808080" w:themeColor="background1" w:themeShade="80"/>
        </w:rPr>
        <w:t>5: Potential Risks for SDL Resource Units (see orange)</w:t>
      </w:r>
    </w:p>
    <w:tbl>
      <w:tblPr>
        <w:tblW w:w="14536" w:type="dxa"/>
        <w:tblCellMar>
          <w:left w:w="0" w:type="dxa"/>
          <w:right w:w="0" w:type="dxa"/>
        </w:tblCellMar>
        <w:tblLook w:val="04A0" w:firstRow="1" w:lastRow="0" w:firstColumn="1" w:lastColumn="0" w:noHBand="0" w:noVBand="1"/>
      </w:tblPr>
      <w:tblGrid>
        <w:gridCol w:w="2424"/>
        <w:gridCol w:w="2422"/>
        <w:gridCol w:w="2422"/>
        <w:gridCol w:w="2423"/>
        <w:gridCol w:w="2422"/>
        <w:gridCol w:w="2423"/>
      </w:tblGrid>
      <w:tr w:rsidR="00A8117C" w:rsidRPr="00A8117C" w14:paraId="67AE44D3" w14:textId="77777777" w:rsidTr="00A8117C">
        <w:trPr>
          <w:trHeight w:val="513"/>
        </w:trPr>
        <w:tc>
          <w:tcPr>
            <w:tcW w:w="2424"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0032259A" w14:textId="77777777" w:rsidR="00A8117C" w:rsidRPr="00A8117C" w:rsidRDefault="00A8117C" w:rsidP="00A8117C">
            <w:r w:rsidRPr="00A8117C">
              <w:rPr>
                <w:b/>
                <w:bCs/>
              </w:rPr>
              <w:t>SDL resource unit</w:t>
            </w:r>
            <w:r w:rsidRPr="00A8117C">
              <w:rPr>
                <w:b/>
                <w:bCs/>
              </w:rPr>
              <w:br/>
              <w:t>(or Shared Zone)</w:t>
            </w: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1ED93FC4" w14:textId="77777777" w:rsidR="00A8117C" w:rsidRPr="00A8117C" w:rsidRDefault="00A8117C" w:rsidP="00A8117C">
            <w:r w:rsidRPr="00A8117C">
              <w:rPr>
                <w:b/>
                <w:bCs/>
              </w:rPr>
              <w:t>Bridging the Gap total target (GL/y)</w:t>
            </w: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0F700C3D" w14:textId="77777777" w:rsidR="00A8117C" w:rsidRPr="00A8117C" w:rsidRDefault="00A8117C" w:rsidP="00A8117C">
            <w:r w:rsidRPr="00A8117C">
              <w:rPr>
                <w:b/>
                <w:bCs/>
              </w:rPr>
              <w:t>Bridging the Gap total recovery (GL/y)</w:t>
            </w:r>
          </w:p>
        </w:tc>
        <w:tc>
          <w:tcPr>
            <w:tcW w:w="2423"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58922D57" w14:textId="77777777" w:rsidR="00A8117C" w:rsidRPr="00A8117C" w:rsidRDefault="00A8117C" w:rsidP="00A8117C">
            <w:r w:rsidRPr="00A8117C">
              <w:rPr>
                <w:b/>
                <w:bCs/>
              </w:rPr>
              <w:t>Bridging the Gap remaining (supply shortfall + under-recovery)</w:t>
            </w: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7AE250BF" w14:textId="77777777" w:rsidR="00A8117C" w:rsidRPr="00A8117C" w:rsidRDefault="00A8117C" w:rsidP="00A8117C">
            <w:r w:rsidRPr="00A8117C">
              <w:rPr>
                <w:b/>
                <w:bCs/>
              </w:rPr>
              <w:t xml:space="preserve">450 GL target total recovery (GL/y) </w:t>
            </w:r>
          </w:p>
        </w:tc>
        <w:tc>
          <w:tcPr>
            <w:tcW w:w="2423"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5740B00A" w14:textId="77777777" w:rsidR="00A8117C" w:rsidRPr="00A8117C" w:rsidRDefault="00A8117C" w:rsidP="00A8117C">
            <w:r w:rsidRPr="00A8117C">
              <w:rPr>
                <w:b/>
                <w:bCs/>
              </w:rPr>
              <w:t>MDBA Draft Reconciliation</w:t>
            </w:r>
          </w:p>
        </w:tc>
      </w:tr>
      <w:tr w:rsidR="00A8117C" w:rsidRPr="00A8117C" w14:paraId="01E313FE" w14:textId="77777777" w:rsidTr="00A8117C">
        <w:trPr>
          <w:trHeight w:val="343"/>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239340A6" w14:textId="77777777" w:rsidR="00A8117C" w:rsidRPr="00A8117C" w:rsidRDefault="00A8117C" w:rsidP="00A8117C">
            <w:r w:rsidRPr="00A8117C">
              <w:t>Condamine-Balonne</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6323ECA8" w14:textId="77777777" w:rsidR="00A8117C" w:rsidRPr="00A8117C" w:rsidRDefault="00A8117C" w:rsidP="00A8117C">
            <w:r w:rsidRPr="00A8117C">
              <w:t>100.0</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743AC664" w14:textId="77777777" w:rsidR="00A8117C" w:rsidRPr="00A8117C" w:rsidRDefault="00A8117C" w:rsidP="00A8117C">
            <w:r w:rsidRPr="00A8117C">
              <w:t>100.3</w:t>
            </w:r>
          </w:p>
        </w:tc>
        <w:tc>
          <w:tcPr>
            <w:tcW w:w="2423"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0DD9D09C" w14:textId="77777777" w:rsidR="00A8117C" w:rsidRPr="00A8117C" w:rsidRDefault="00A8117C" w:rsidP="00A8117C">
            <w:r w:rsidRPr="00A8117C">
              <w:t>-</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7824A1E6" w14:textId="77777777" w:rsidR="00A8117C" w:rsidRPr="00A8117C" w:rsidRDefault="00A8117C" w:rsidP="00A8117C">
            <w:r w:rsidRPr="00A8117C">
              <w:t>-</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vAlign w:val="center"/>
            <w:hideMark/>
          </w:tcPr>
          <w:p w14:paraId="3063DB5C" w14:textId="77777777" w:rsidR="00A8117C" w:rsidRPr="00A8117C" w:rsidRDefault="00A8117C" w:rsidP="00A8117C">
            <w:r w:rsidRPr="00A8117C">
              <w:t> </w:t>
            </w:r>
          </w:p>
        </w:tc>
      </w:tr>
      <w:tr w:rsidR="00A8117C" w:rsidRPr="00A8117C" w14:paraId="78BB5B3F"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7F82BA41" w14:textId="77777777" w:rsidR="00A8117C" w:rsidRPr="00A8117C" w:rsidRDefault="00A8117C" w:rsidP="00A8117C">
            <w:r w:rsidRPr="00A8117C">
              <w:t>Moonie</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55305EA7" w14:textId="77777777" w:rsidR="00A8117C" w:rsidRPr="00A8117C" w:rsidRDefault="00A8117C" w:rsidP="00A8117C">
            <w:r w:rsidRPr="00A8117C">
              <w:t>2.1</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3BAC13FF" w14:textId="77777777" w:rsidR="00A8117C" w:rsidRPr="00A8117C" w:rsidRDefault="00A8117C" w:rsidP="00A8117C">
            <w:r w:rsidRPr="00A8117C">
              <w:t>2.1</w:t>
            </w:r>
          </w:p>
        </w:tc>
        <w:tc>
          <w:tcPr>
            <w:tcW w:w="2423"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5387E39E" w14:textId="77777777" w:rsidR="00A8117C" w:rsidRPr="00A8117C" w:rsidRDefault="00A8117C" w:rsidP="00A8117C">
            <w:r w:rsidRPr="00A8117C">
              <w:t>-</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1F341744" w14:textId="77777777" w:rsidR="00A8117C" w:rsidRPr="00A8117C" w:rsidRDefault="00A8117C" w:rsidP="00A8117C">
            <w:r w:rsidRPr="00A8117C">
              <w:t>0.8</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vAlign w:val="bottom"/>
            <w:hideMark/>
          </w:tcPr>
          <w:p w14:paraId="2C6D50A4" w14:textId="77777777" w:rsidR="00A8117C" w:rsidRPr="00A8117C" w:rsidRDefault="00A8117C" w:rsidP="00A8117C">
            <w:r w:rsidRPr="00A8117C">
              <w:t>-0.777</w:t>
            </w:r>
          </w:p>
        </w:tc>
      </w:tr>
      <w:tr w:rsidR="00A8117C" w:rsidRPr="00A8117C" w14:paraId="5265FD0F"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46A87E84" w14:textId="77777777" w:rsidR="00A8117C" w:rsidRPr="00A8117C" w:rsidRDefault="00A8117C" w:rsidP="00A8117C">
            <w:r w:rsidRPr="00A8117C">
              <w:t>Nebine</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490A66E5" w14:textId="77777777" w:rsidR="00A8117C" w:rsidRPr="00A8117C" w:rsidRDefault="00A8117C" w:rsidP="00A8117C">
            <w:r w:rsidRPr="00A8117C">
              <w:t>3.8</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2F1A29F9" w14:textId="77777777" w:rsidR="00A8117C" w:rsidRPr="00A8117C" w:rsidRDefault="00A8117C" w:rsidP="00A8117C">
            <w:r w:rsidRPr="00A8117C">
              <w:t>3.8</w:t>
            </w:r>
          </w:p>
        </w:tc>
        <w:tc>
          <w:tcPr>
            <w:tcW w:w="2423"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19C8F393" w14:textId="77777777" w:rsidR="00A8117C" w:rsidRPr="00A8117C" w:rsidRDefault="00A8117C" w:rsidP="00A8117C">
            <w:r w:rsidRPr="00A8117C">
              <w:t>-</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4D351822" w14:textId="77777777" w:rsidR="00A8117C" w:rsidRPr="00A8117C" w:rsidRDefault="00A8117C" w:rsidP="00A8117C">
            <w:r w:rsidRPr="00A8117C">
              <w:t>-</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vAlign w:val="bottom"/>
            <w:hideMark/>
          </w:tcPr>
          <w:p w14:paraId="08EBA001" w14:textId="77777777" w:rsidR="00A8117C" w:rsidRPr="00A8117C" w:rsidRDefault="00A8117C" w:rsidP="00A8117C">
            <w:r w:rsidRPr="00A8117C">
              <w:t> </w:t>
            </w:r>
          </w:p>
        </w:tc>
      </w:tr>
      <w:tr w:rsidR="00A8117C" w:rsidRPr="00A8117C" w14:paraId="0DD560F1"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2DAA1938" w14:textId="77777777" w:rsidR="00A8117C" w:rsidRPr="00A8117C" w:rsidRDefault="00A8117C" w:rsidP="00A8117C">
            <w:r w:rsidRPr="00A8117C">
              <w:t>QLD Border Rivers</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71963AFA" w14:textId="77777777" w:rsidR="00A8117C" w:rsidRPr="00A8117C" w:rsidRDefault="00A8117C" w:rsidP="00A8117C">
            <w:r w:rsidRPr="00A8117C">
              <w:t>14.0</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2B618D85" w14:textId="77777777" w:rsidR="00A8117C" w:rsidRPr="00A8117C" w:rsidRDefault="00A8117C" w:rsidP="00A8117C">
            <w:r w:rsidRPr="00A8117C">
              <w:t>14.0</w:t>
            </w:r>
          </w:p>
        </w:tc>
        <w:tc>
          <w:tcPr>
            <w:tcW w:w="2423"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587EF52A" w14:textId="77777777" w:rsidR="00A8117C" w:rsidRPr="00A8117C" w:rsidRDefault="00A8117C" w:rsidP="00A8117C">
            <w:r w:rsidRPr="00A8117C">
              <w:t>-</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199041E6" w14:textId="77777777" w:rsidR="00A8117C" w:rsidRPr="00A8117C" w:rsidRDefault="00A8117C" w:rsidP="00A8117C">
            <w:r w:rsidRPr="00A8117C">
              <w:t>0.4</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vAlign w:val="bottom"/>
            <w:hideMark/>
          </w:tcPr>
          <w:p w14:paraId="4E3CCEC6" w14:textId="77777777" w:rsidR="00A8117C" w:rsidRPr="00A8117C" w:rsidRDefault="00A8117C" w:rsidP="00A8117C">
            <w:r w:rsidRPr="00A8117C">
              <w:t>-0.416</w:t>
            </w:r>
          </w:p>
        </w:tc>
      </w:tr>
      <w:tr w:rsidR="00A8117C" w:rsidRPr="00A8117C" w14:paraId="7E7C1B42" w14:textId="77777777" w:rsidTr="00A8117C">
        <w:trPr>
          <w:trHeight w:val="294"/>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4DF4BD50" w14:textId="77777777" w:rsidR="00A8117C" w:rsidRPr="00A8117C" w:rsidRDefault="00A8117C" w:rsidP="00A8117C">
            <w:r w:rsidRPr="00A8117C">
              <w:t>Warrego</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410F9601" w14:textId="77777777" w:rsidR="00A8117C" w:rsidRPr="00A8117C" w:rsidRDefault="00A8117C" w:rsidP="00A8117C">
            <w:r w:rsidRPr="00A8117C">
              <w:t>20.1</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0DFA8C71" w14:textId="77777777" w:rsidR="00A8117C" w:rsidRPr="00A8117C" w:rsidRDefault="00A8117C" w:rsidP="00A8117C">
            <w:r w:rsidRPr="00A8117C">
              <w:t>20.1</w:t>
            </w:r>
          </w:p>
        </w:tc>
        <w:tc>
          <w:tcPr>
            <w:tcW w:w="2423"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5FEA89FD" w14:textId="77777777" w:rsidR="00A8117C" w:rsidRPr="00A8117C" w:rsidRDefault="00A8117C" w:rsidP="00A8117C">
            <w:r w:rsidRPr="00A8117C">
              <w:t>-</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43BC9EEE" w14:textId="77777777" w:rsidR="00A8117C" w:rsidRPr="00A8117C" w:rsidRDefault="00A8117C" w:rsidP="00A8117C">
            <w:r w:rsidRPr="00A8117C">
              <w:t>-</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vAlign w:val="bottom"/>
            <w:hideMark/>
          </w:tcPr>
          <w:p w14:paraId="3629D924" w14:textId="77777777" w:rsidR="00A8117C" w:rsidRPr="00A8117C" w:rsidRDefault="00A8117C" w:rsidP="00A8117C">
            <w:r w:rsidRPr="00A8117C">
              <w:t> </w:t>
            </w:r>
          </w:p>
        </w:tc>
      </w:tr>
      <w:tr w:rsidR="00A8117C" w:rsidRPr="00A8117C" w14:paraId="3BF13273"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7A2EA35E" w14:textId="77777777" w:rsidR="00A8117C" w:rsidRPr="00A8117C" w:rsidRDefault="00A8117C" w:rsidP="00A8117C">
            <w:r w:rsidRPr="00A8117C">
              <w:t xml:space="preserve">Barwon-Darling </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6A3E38AB" w14:textId="77777777" w:rsidR="00A8117C" w:rsidRPr="00A8117C" w:rsidRDefault="00A8117C" w:rsidP="00A8117C">
            <w:r w:rsidRPr="00A8117C">
              <w:t>32.0</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7010EB22" w14:textId="77777777" w:rsidR="00A8117C" w:rsidRPr="00A8117C" w:rsidRDefault="00A8117C" w:rsidP="00A8117C">
            <w:r w:rsidRPr="00A8117C">
              <w:t>35.7</w:t>
            </w:r>
          </w:p>
        </w:tc>
        <w:tc>
          <w:tcPr>
            <w:tcW w:w="2423"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54197096" w14:textId="77777777" w:rsidR="00A8117C" w:rsidRPr="00A8117C" w:rsidRDefault="00A8117C" w:rsidP="00A8117C">
            <w:r w:rsidRPr="00A8117C">
              <w:t>-</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6F01006F" w14:textId="77777777" w:rsidR="00A8117C" w:rsidRPr="00A8117C" w:rsidRDefault="00A8117C" w:rsidP="00A8117C">
            <w:r w:rsidRPr="00A8117C">
              <w:t>-</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vAlign w:val="bottom"/>
            <w:hideMark/>
          </w:tcPr>
          <w:p w14:paraId="147A8947" w14:textId="77777777" w:rsidR="00A8117C" w:rsidRPr="00A8117C" w:rsidRDefault="00A8117C" w:rsidP="00A8117C">
            <w:r w:rsidRPr="00A8117C">
              <w:t> </w:t>
            </w:r>
          </w:p>
        </w:tc>
      </w:tr>
      <w:tr w:rsidR="00A8117C" w:rsidRPr="00A8117C" w14:paraId="2610BB4E" w14:textId="77777777" w:rsidTr="00A8117C">
        <w:trPr>
          <w:trHeight w:val="294"/>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2F292E76" w14:textId="77777777" w:rsidR="00A8117C" w:rsidRPr="00A8117C" w:rsidRDefault="00A8117C" w:rsidP="00A8117C">
            <w:r w:rsidRPr="00A8117C">
              <w:t>Gwydir</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59E81FAF" w14:textId="77777777" w:rsidR="00A8117C" w:rsidRPr="00A8117C" w:rsidRDefault="00A8117C" w:rsidP="00A8117C">
            <w:r w:rsidRPr="00A8117C">
              <w:t>49.6</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39146CF8" w14:textId="77777777" w:rsidR="00A8117C" w:rsidRPr="00A8117C" w:rsidRDefault="00A8117C" w:rsidP="00A8117C">
            <w:r w:rsidRPr="00A8117C">
              <w:t>49.6</w:t>
            </w:r>
          </w:p>
        </w:tc>
        <w:tc>
          <w:tcPr>
            <w:tcW w:w="2423"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5FA52B40" w14:textId="77777777" w:rsidR="00A8117C" w:rsidRPr="00A8117C" w:rsidRDefault="00A8117C" w:rsidP="00A8117C">
            <w:r w:rsidRPr="00A8117C">
              <w:t>-</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5E792930" w14:textId="77777777" w:rsidR="00A8117C" w:rsidRPr="00A8117C" w:rsidRDefault="00A8117C" w:rsidP="00A8117C">
            <w:r w:rsidRPr="00A8117C">
              <w:t>5.0</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vAlign w:val="bottom"/>
            <w:hideMark/>
          </w:tcPr>
          <w:p w14:paraId="692E08B3" w14:textId="77777777" w:rsidR="00A8117C" w:rsidRPr="00A8117C" w:rsidRDefault="00A8117C" w:rsidP="00A8117C">
            <w:r w:rsidRPr="00A8117C">
              <w:t>-5.041</w:t>
            </w:r>
          </w:p>
        </w:tc>
      </w:tr>
      <w:tr w:rsidR="00A8117C" w:rsidRPr="00A8117C" w14:paraId="0BE830EA"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6AEE77F9" w14:textId="77777777" w:rsidR="00A8117C" w:rsidRPr="00A8117C" w:rsidRDefault="00A8117C" w:rsidP="00A8117C">
            <w:r w:rsidRPr="00A8117C">
              <w:t>Intersecting Streams</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597D8716" w14:textId="77777777" w:rsidR="00A8117C" w:rsidRPr="00A8117C" w:rsidRDefault="00A8117C" w:rsidP="00A8117C">
            <w:r w:rsidRPr="00A8117C">
              <w:t>13.8</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3FB44C1B" w14:textId="77777777" w:rsidR="00A8117C" w:rsidRPr="00A8117C" w:rsidRDefault="00A8117C" w:rsidP="00A8117C">
            <w:r w:rsidRPr="00A8117C">
              <w:t>15.8</w:t>
            </w:r>
          </w:p>
        </w:tc>
        <w:tc>
          <w:tcPr>
            <w:tcW w:w="2423"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02D87DFB" w14:textId="77777777" w:rsidR="00A8117C" w:rsidRPr="00A8117C" w:rsidRDefault="00A8117C" w:rsidP="00A8117C">
            <w:r w:rsidRPr="00A8117C">
              <w:t>-</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4665B550" w14:textId="77777777" w:rsidR="00A8117C" w:rsidRPr="00A8117C" w:rsidRDefault="00A8117C" w:rsidP="00A8117C">
            <w:r w:rsidRPr="00A8117C">
              <w:t>-</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vAlign w:val="bottom"/>
            <w:hideMark/>
          </w:tcPr>
          <w:p w14:paraId="46E9A192" w14:textId="77777777" w:rsidR="00A8117C" w:rsidRPr="00A8117C" w:rsidRDefault="00A8117C" w:rsidP="00A8117C">
            <w:r w:rsidRPr="00A8117C">
              <w:t> </w:t>
            </w:r>
          </w:p>
        </w:tc>
      </w:tr>
      <w:tr w:rsidR="00A8117C" w:rsidRPr="00A8117C" w14:paraId="32096004" w14:textId="77777777" w:rsidTr="00A8117C">
        <w:trPr>
          <w:trHeight w:val="294"/>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65A9306F" w14:textId="77777777" w:rsidR="00A8117C" w:rsidRPr="00A8117C" w:rsidRDefault="00A8117C" w:rsidP="00A8117C">
            <w:r w:rsidRPr="00A8117C">
              <w:t>Macquarie-Castlereagh</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26B411B4" w14:textId="77777777" w:rsidR="00A8117C" w:rsidRPr="00A8117C" w:rsidRDefault="00A8117C" w:rsidP="00A8117C">
            <w:r w:rsidRPr="00A8117C">
              <w:t>57.6</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6517F823" w14:textId="77777777" w:rsidR="00A8117C" w:rsidRPr="00A8117C" w:rsidRDefault="00A8117C" w:rsidP="00A8117C">
            <w:r w:rsidRPr="00A8117C">
              <w:t>57.7</w:t>
            </w:r>
          </w:p>
        </w:tc>
        <w:tc>
          <w:tcPr>
            <w:tcW w:w="2423"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63973712" w14:textId="77777777" w:rsidR="00A8117C" w:rsidRPr="00A8117C" w:rsidRDefault="00A8117C" w:rsidP="00A8117C">
            <w:r w:rsidRPr="00A8117C">
              <w:t>-</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3B289E02" w14:textId="77777777" w:rsidR="00A8117C" w:rsidRPr="00A8117C" w:rsidRDefault="00A8117C" w:rsidP="00A8117C">
            <w:r w:rsidRPr="00A8117C">
              <w:t>21.7</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vAlign w:val="bottom"/>
            <w:hideMark/>
          </w:tcPr>
          <w:p w14:paraId="20427EDB" w14:textId="77777777" w:rsidR="00A8117C" w:rsidRPr="00A8117C" w:rsidRDefault="00A8117C" w:rsidP="00A8117C">
            <w:r w:rsidRPr="00A8117C">
              <w:t>-21.688</w:t>
            </w:r>
          </w:p>
        </w:tc>
      </w:tr>
      <w:tr w:rsidR="00A8117C" w:rsidRPr="00A8117C" w14:paraId="4FC6A8A7"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2CB545BB" w14:textId="77777777" w:rsidR="00A8117C" w:rsidRPr="00A8117C" w:rsidRDefault="00A8117C" w:rsidP="00A8117C">
            <w:r w:rsidRPr="00A8117C">
              <w:t>Namoi</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4140ED53" w14:textId="77777777" w:rsidR="00A8117C" w:rsidRPr="00A8117C" w:rsidRDefault="00A8117C" w:rsidP="00A8117C">
            <w:r w:rsidRPr="00A8117C">
              <w:t>20.0</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72DD738C" w14:textId="77777777" w:rsidR="00A8117C" w:rsidRPr="00A8117C" w:rsidRDefault="00A8117C" w:rsidP="00A8117C">
            <w:r w:rsidRPr="00A8117C">
              <w:t>19.4</w:t>
            </w:r>
          </w:p>
        </w:tc>
        <w:tc>
          <w:tcPr>
            <w:tcW w:w="2423" w:type="dxa"/>
            <w:tcBorders>
              <w:top w:val="single" w:sz="8" w:space="0" w:color="000000"/>
              <w:left w:val="single" w:sz="8" w:space="0" w:color="000000"/>
              <w:bottom w:val="single" w:sz="8" w:space="0" w:color="000000"/>
              <w:right w:val="single" w:sz="8" w:space="0" w:color="000000"/>
            </w:tcBorders>
            <w:shd w:val="clear" w:color="auto" w:fill="E97132"/>
            <w:tcMar>
              <w:top w:w="15" w:type="dxa"/>
              <w:left w:w="97" w:type="dxa"/>
              <w:bottom w:w="0" w:type="dxa"/>
              <w:right w:w="97" w:type="dxa"/>
            </w:tcMar>
            <w:hideMark/>
          </w:tcPr>
          <w:p w14:paraId="34A6BF5E" w14:textId="77777777" w:rsidR="00A8117C" w:rsidRPr="00A8117C" w:rsidRDefault="00A8117C" w:rsidP="00A8117C">
            <w:r w:rsidRPr="00A8117C">
              <w:t>0.6</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7C083636" w14:textId="77777777" w:rsidR="00A8117C" w:rsidRPr="00A8117C" w:rsidRDefault="00A8117C" w:rsidP="00A8117C">
            <w:r w:rsidRPr="00A8117C">
              <w:t>-</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vAlign w:val="bottom"/>
            <w:hideMark/>
          </w:tcPr>
          <w:p w14:paraId="6214B73E" w14:textId="77777777" w:rsidR="00A8117C" w:rsidRPr="00A8117C" w:rsidRDefault="00A8117C" w:rsidP="00A8117C">
            <w:r w:rsidRPr="00A8117C">
              <w:t> </w:t>
            </w:r>
          </w:p>
        </w:tc>
      </w:tr>
      <w:tr w:rsidR="00A8117C" w:rsidRPr="00A8117C" w14:paraId="1F80B580"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1340F46C" w14:textId="77777777" w:rsidR="00A8117C" w:rsidRPr="00A8117C" w:rsidRDefault="00A8117C" w:rsidP="00A8117C">
            <w:r w:rsidRPr="00A8117C">
              <w:t>NSW Border Rivers</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3DEDA056" w14:textId="77777777" w:rsidR="00A8117C" w:rsidRPr="00A8117C" w:rsidRDefault="00A8117C" w:rsidP="00A8117C">
            <w:r w:rsidRPr="00A8117C">
              <w:t>7.0</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602CD98F" w14:textId="77777777" w:rsidR="00A8117C" w:rsidRPr="00A8117C" w:rsidRDefault="00A8117C" w:rsidP="00A8117C">
            <w:r w:rsidRPr="00A8117C">
              <w:t>2.8</w:t>
            </w:r>
          </w:p>
        </w:tc>
        <w:tc>
          <w:tcPr>
            <w:tcW w:w="2423" w:type="dxa"/>
            <w:tcBorders>
              <w:top w:val="single" w:sz="8" w:space="0" w:color="000000"/>
              <w:left w:val="single" w:sz="8" w:space="0" w:color="000000"/>
              <w:bottom w:val="single" w:sz="8" w:space="0" w:color="000000"/>
              <w:right w:val="single" w:sz="8" w:space="0" w:color="000000"/>
            </w:tcBorders>
            <w:shd w:val="clear" w:color="auto" w:fill="E97132"/>
            <w:tcMar>
              <w:top w:w="15" w:type="dxa"/>
              <w:left w:w="97" w:type="dxa"/>
              <w:bottom w:w="0" w:type="dxa"/>
              <w:right w:w="97" w:type="dxa"/>
            </w:tcMar>
            <w:hideMark/>
          </w:tcPr>
          <w:p w14:paraId="33A32661" w14:textId="77777777" w:rsidR="00A8117C" w:rsidRPr="00A8117C" w:rsidRDefault="00A8117C" w:rsidP="00A8117C">
            <w:r w:rsidRPr="00A8117C">
              <w:t>4.2</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15043281" w14:textId="77777777" w:rsidR="00A8117C" w:rsidRPr="00A8117C" w:rsidRDefault="00A8117C" w:rsidP="00A8117C">
            <w:r w:rsidRPr="00A8117C">
              <w:t>-</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vAlign w:val="bottom"/>
            <w:hideMark/>
          </w:tcPr>
          <w:p w14:paraId="5D123B7B" w14:textId="77777777" w:rsidR="00A8117C" w:rsidRPr="00A8117C" w:rsidRDefault="00A8117C" w:rsidP="00A8117C">
            <w:r w:rsidRPr="00A8117C">
              <w:t> </w:t>
            </w:r>
          </w:p>
        </w:tc>
      </w:tr>
      <w:tr w:rsidR="00A8117C" w:rsidRPr="00A8117C" w14:paraId="34EB54E9" w14:textId="77777777" w:rsidTr="00A8117C">
        <w:trPr>
          <w:trHeight w:val="479"/>
        </w:trPr>
        <w:tc>
          <w:tcPr>
            <w:tcW w:w="2424"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27BFC4D8" w14:textId="77777777" w:rsidR="00A8117C" w:rsidRPr="00A8117C" w:rsidRDefault="00A8117C" w:rsidP="00A8117C">
            <w:r w:rsidRPr="00A8117C">
              <w:rPr>
                <w:b/>
                <w:bCs/>
              </w:rPr>
              <w:t>northern Basin total</w:t>
            </w: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02EF680A" w14:textId="77777777" w:rsidR="00A8117C" w:rsidRPr="00A8117C" w:rsidRDefault="00A8117C" w:rsidP="00A8117C">
            <w:r w:rsidRPr="00A8117C">
              <w:rPr>
                <w:b/>
                <w:bCs/>
              </w:rPr>
              <w:t>320.0</w:t>
            </w: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35770BBE" w14:textId="77777777" w:rsidR="00A8117C" w:rsidRPr="00A8117C" w:rsidRDefault="00A8117C" w:rsidP="00A8117C">
            <w:r w:rsidRPr="00A8117C">
              <w:rPr>
                <w:b/>
                <w:bCs/>
              </w:rPr>
              <w:t>321.2</w:t>
            </w:r>
          </w:p>
        </w:tc>
        <w:tc>
          <w:tcPr>
            <w:tcW w:w="2423"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330A5623" w14:textId="77777777" w:rsidR="00A8117C" w:rsidRPr="00A8117C" w:rsidRDefault="00A8117C" w:rsidP="00A8117C">
            <w:r w:rsidRPr="00A8117C">
              <w:rPr>
                <w:b/>
                <w:bCs/>
              </w:rPr>
              <w:t>4.8</w:t>
            </w: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2E974C97" w14:textId="77777777" w:rsidR="00A8117C" w:rsidRPr="00A8117C" w:rsidRDefault="00A8117C" w:rsidP="00A8117C">
            <w:r w:rsidRPr="00A8117C">
              <w:rPr>
                <w:b/>
                <w:bCs/>
              </w:rPr>
              <w:t>27.9</w:t>
            </w:r>
          </w:p>
        </w:tc>
        <w:tc>
          <w:tcPr>
            <w:tcW w:w="2423"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vAlign w:val="center"/>
            <w:hideMark/>
          </w:tcPr>
          <w:p w14:paraId="7D620874" w14:textId="77777777" w:rsidR="00A8117C" w:rsidRPr="00A8117C" w:rsidRDefault="00A8117C" w:rsidP="00A8117C">
            <w:r w:rsidRPr="00A8117C">
              <w:rPr>
                <w:b/>
                <w:bCs/>
              </w:rPr>
              <w:t>-27.922</w:t>
            </w:r>
          </w:p>
        </w:tc>
      </w:tr>
      <w:tr w:rsidR="00A8117C" w:rsidRPr="00A8117C" w14:paraId="68D0ACC8" w14:textId="77777777" w:rsidTr="00A8117C">
        <w:trPr>
          <w:trHeight w:val="310"/>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43253168" w14:textId="77777777" w:rsidR="00A8117C" w:rsidRPr="00A8117C" w:rsidRDefault="00A8117C" w:rsidP="00A8117C">
            <w:r w:rsidRPr="00A8117C">
              <w:t xml:space="preserve">Lower Darling </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04E5368E" w14:textId="77777777" w:rsidR="00A8117C" w:rsidRPr="00A8117C" w:rsidRDefault="00A8117C" w:rsidP="00A8117C">
            <w:r w:rsidRPr="00A8117C">
              <w:t>22.3</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686A9BE8" w14:textId="77777777" w:rsidR="00A8117C" w:rsidRPr="00A8117C" w:rsidRDefault="00A8117C" w:rsidP="00A8117C">
            <w:r w:rsidRPr="00A8117C">
              <w:t>21.3</w:t>
            </w:r>
          </w:p>
        </w:tc>
        <w:tc>
          <w:tcPr>
            <w:tcW w:w="2423" w:type="dxa"/>
            <w:tcBorders>
              <w:top w:val="single" w:sz="8" w:space="0" w:color="000000"/>
              <w:left w:val="single" w:sz="8" w:space="0" w:color="000000"/>
              <w:bottom w:val="single" w:sz="8" w:space="0" w:color="000000"/>
              <w:right w:val="single" w:sz="8" w:space="0" w:color="000000"/>
            </w:tcBorders>
            <w:shd w:val="clear" w:color="auto" w:fill="E97132"/>
            <w:tcMar>
              <w:top w:w="15" w:type="dxa"/>
              <w:left w:w="97" w:type="dxa"/>
              <w:bottom w:w="0" w:type="dxa"/>
              <w:right w:w="97" w:type="dxa"/>
            </w:tcMar>
            <w:hideMark/>
          </w:tcPr>
          <w:p w14:paraId="5CEC0792" w14:textId="77777777" w:rsidR="00A8117C" w:rsidRPr="00A8117C" w:rsidRDefault="00A8117C" w:rsidP="00A8117C">
            <w:r w:rsidRPr="00A8117C">
              <w:t>1.0</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65EB4248" w14:textId="77777777" w:rsidR="00A8117C" w:rsidRPr="00A8117C" w:rsidRDefault="00A8117C" w:rsidP="00A8117C">
            <w:r w:rsidRPr="00A8117C">
              <w:t>0.9</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hideMark/>
          </w:tcPr>
          <w:p w14:paraId="0D5AA09F" w14:textId="77777777" w:rsidR="00A8117C" w:rsidRPr="00A8117C" w:rsidRDefault="00A8117C" w:rsidP="00A8117C">
            <w:r w:rsidRPr="00A8117C">
              <w:t>-0.856</w:t>
            </w:r>
          </w:p>
        </w:tc>
      </w:tr>
      <w:tr w:rsidR="00A8117C" w:rsidRPr="00A8117C" w14:paraId="6CB1B4B8" w14:textId="77777777" w:rsidTr="00A8117C">
        <w:trPr>
          <w:trHeight w:val="335"/>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28815743" w14:textId="77777777" w:rsidR="00A8117C" w:rsidRPr="00A8117C" w:rsidRDefault="00A8117C" w:rsidP="00A8117C">
            <w:r w:rsidRPr="00A8117C">
              <w:t>Murrumbidgee</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04FD80AE" w14:textId="77777777" w:rsidR="00A8117C" w:rsidRPr="00A8117C" w:rsidRDefault="00A8117C" w:rsidP="00A8117C">
            <w:r w:rsidRPr="00A8117C">
              <w:t>504.6</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0C3E56CD" w14:textId="77777777" w:rsidR="00A8117C" w:rsidRPr="00A8117C" w:rsidRDefault="00A8117C" w:rsidP="00A8117C">
            <w:r w:rsidRPr="00A8117C">
              <w:t>435.9</w:t>
            </w:r>
          </w:p>
        </w:tc>
        <w:tc>
          <w:tcPr>
            <w:tcW w:w="2423" w:type="dxa"/>
            <w:tcBorders>
              <w:top w:val="single" w:sz="8" w:space="0" w:color="000000"/>
              <w:left w:val="single" w:sz="8" w:space="0" w:color="000000"/>
              <w:bottom w:val="single" w:sz="8" w:space="0" w:color="000000"/>
              <w:right w:val="single" w:sz="8" w:space="0" w:color="000000"/>
            </w:tcBorders>
            <w:shd w:val="clear" w:color="auto" w:fill="E97132"/>
            <w:tcMar>
              <w:top w:w="15" w:type="dxa"/>
              <w:left w:w="97" w:type="dxa"/>
              <w:bottom w:w="0" w:type="dxa"/>
              <w:right w:w="97" w:type="dxa"/>
            </w:tcMar>
            <w:hideMark/>
          </w:tcPr>
          <w:p w14:paraId="4E94A3CE" w14:textId="77777777" w:rsidR="00A8117C" w:rsidRPr="00A8117C" w:rsidRDefault="00A8117C" w:rsidP="00A8117C">
            <w:r w:rsidRPr="00A8117C">
              <w:t>68.70</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375CEB8E" w14:textId="77777777" w:rsidR="00A8117C" w:rsidRPr="00A8117C" w:rsidRDefault="00A8117C" w:rsidP="00A8117C">
            <w:r w:rsidRPr="00A8117C">
              <w:t>29.0</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hideMark/>
          </w:tcPr>
          <w:p w14:paraId="02C578A3" w14:textId="77777777" w:rsidR="00A8117C" w:rsidRPr="00A8117C" w:rsidRDefault="00A8117C" w:rsidP="00A8117C">
            <w:r w:rsidRPr="00A8117C">
              <w:t>64.295</w:t>
            </w:r>
          </w:p>
        </w:tc>
      </w:tr>
      <w:tr w:rsidR="00A8117C" w:rsidRPr="00A8117C" w14:paraId="1D0739A6" w14:textId="77777777" w:rsidTr="00A8117C">
        <w:trPr>
          <w:trHeight w:val="306"/>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786ED6D3" w14:textId="77777777" w:rsidR="00A8117C" w:rsidRPr="00A8117C" w:rsidRDefault="00A8117C" w:rsidP="00A8117C">
            <w:r w:rsidRPr="00A8117C">
              <w:t xml:space="preserve">NSW Murray </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4F3467A5" w14:textId="77777777" w:rsidR="00A8117C" w:rsidRPr="00A8117C" w:rsidRDefault="00A8117C" w:rsidP="00A8117C">
            <w:r w:rsidRPr="00A8117C">
              <w:t>360.0</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2878FCAF" w14:textId="77777777" w:rsidR="00A8117C" w:rsidRPr="00A8117C" w:rsidRDefault="00A8117C" w:rsidP="00A8117C">
            <w:r w:rsidRPr="00A8117C">
              <w:t>302.0</w:t>
            </w:r>
          </w:p>
        </w:tc>
        <w:tc>
          <w:tcPr>
            <w:tcW w:w="2423" w:type="dxa"/>
            <w:tcBorders>
              <w:top w:val="single" w:sz="8" w:space="0" w:color="000000"/>
              <w:left w:val="single" w:sz="8" w:space="0" w:color="000000"/>
              <w:bottom w:val="single" w:sz="8" w:space="0" w:color="000000"/>
              <w:right w:val="single" w:sz="8" w:space="0" w:color="000000"/>
            </w:tcBorders>
            <w:shd w:val="clear" w:color="auto" w:fill="E97132"/>
            <w:tcMar>
              <w:top w:w="15" w:type="dxa"/>
              <w:left w:w="97" w:type="dxa"/>
              <w:bottom w:w="0" w:type="dxa"/>
              <w:right w:w="97" w:type="dxa"/>
            </w:tcMar>
            <w:hideMark/>
          </w:tcPr>
          <w:p w14:paraId="448293F3" w14:textId="77777777" w:rsidR="00A8117C" w:rsidRPr="00A8117C" w:rsidRDefault="00A8117C" w:rsidP="00A8117C">
            <w:r w:rsidRPr="00A8117C">
              <w:t>58.0</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6072AAF7" w14:textId="77777777" w:rsidR="00A8117C" w:rsidRPr="00A8117C" w:rsidRDefault="00A8117C" w:rsidP="00A8117C">
            <w:r w:rsidRPr="00A8117C">
              <w:t>50.0</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hideMark/>
          </w:tcPr>
          <w:p w14:paraId="2A15AFD5" w14:textId="77777777" w:rsidR="00A8117C" w:rsidRPr="00A8117C" w:rsidRDefault="00A8117C" w:rsidP="00A8117C">
            <w:r w:rsidRPr="00A8117C">
              <w:t>17.805</w:t>
            </w:r>
          </w:p>
        </w:tc>
      </w:tr>
      <w:tr w:rsidR="00A8117C" w:rsidRPr="00A8117C" w14:paraId="72C81972"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393B62C8" w14:textId="77777777" w:rsidR="00A8117C" w:rsidRPr="00A8117C" w:rsidRDefault="00A8117C" w:rsidP="00A8117C">
            <w:r w:rsidRPr="00A8117C">
              <w:t xml:space="preserve">ACT </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36496574" w14:textId="77777777" w:rsidR="00A8117C" w:rsidRPr="00A8117C" w:rsidRDefault="00A8117C" w:rsidP="00A8117C">
            <w:r w:rsidRPr="00A8117C">
              <w:t>4.9</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38C5E1F7" w14:textId="77777777" w:rsidR="00A8117C" w:rsidRPr="00A8117C" w:rsidRDefault="00A8117C" w:rsidP="00A8117C">
            <w:r w:rsidRPr="00A8117C">
              <w:t>4.9</w:t>
            </w:r>
          </w:p>
        </w:tc>
        <w:tc>
          <w:tcPr>
            <w:tcW w:w="2423"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1A7A9DDE" w14:textId="77777777" w:rsidR="00A8117C" w:rsidRPr="00A8117C" w:rsidRDefault="00A8117C" w:rsidP="00A8117C">
            <w:r w:rsidRPr="00A8117C">
              <w:t>-</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6D071F05" w14:textId="77777777" w:rsidR="00A8117C" w:rsidRPr="00A8117C" w:rsidRDefault="00A8117C" w:rsidP="00A8117C">
            <w:r w:rsidRPr="00A8117C">
              <w:t>1.5</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hideMark/>
          </w:tcPr>
          <w:p w14:paraId="453DE6B2" w14:textId="77777777" w:rsidR="00A8117C" w:rsidRPr="00A8117C" w:rsidRDefault="00A8117C" w:rsidP="00A8117C">
            <w:r w:rsidRPr="00A8117C">
              <w:t>-1.46</w:t>
            </w:r>
          </w:p>
        </w:tc>
      </w:tr>
      <w:tr w:rsidR="00A8117C" w:rsidRPr="00A8117C" w14:paraId="42263EF5"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01852201" w14:textId="77777777" w:rsidR="00A8117C" w:rsidRPr="00A8117C" w:rsidRDefault="00A8117C" w:rsidP="00A8117C">
            <w:r w:rsidRPr="00A8117C">
              <w:t>Broken</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6B762FF1" w14:textId="77777777" w:rsidR="00A8117C" w:rsidRPr="00A8117C" w:rsidRDefault="00A8117C" w:rsidP="00A8117C">
            <w:r w:rsidRPr="00A8117C">
              <w:t>0.6</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301A1781" w14:textId="77777777" w:rsidR="00A8117C" w:rsidRPr="00A8117C" w:rsidRDefault="00A8117C" w:rsidP="00A8117C">
            <w:r w:rsidRPr="00A8117C">
              <w:t>0.2</w:t>
            </w:r>
          </w:p>
        </w:tc>
        <w:tc>
          <w:tcPr>
            <w:tcW w:w="2423" w:type="dxa"/>
            <w:tcBorders>
              <w:top w:val="single" w:sz="8" w:space="0" w:color="000000"/>
              <w:left w:val="single" w:sz="8" w:space="0" w:color="000000"/>
              <w:bottom w:val="single" w:sz="8" w:space="0" w:color="000000"/>
              <w:right w:val="single" w:sz="8" w:space="0" w:color="000000"/>
            </w:tcBorders>
            <w:shd w:val="clear" w:color="auto" w:fill="E97132"/>
            <w:tcMar>
              <w:top w:w="15" w:type="dxa"/>
              <w:left w:w="97" w:type="dxa"/>
              <w:bottom w:w="0" w:type="dxa"/>
              <w:right w:w="97" w:type="dxa"/>
            </w:tcMar>
            <w:hideMark/>
          </w:tcPr>
          <w:p w14:paraId="740484E7" w14:textId="77777777" w:rsidR="00A8117C" w:rsidRPr="00A8117C" w:rsidRDefault="00A8117C" w:rsidP="00A8117C">
            <w:r w:rsidRPr="00A8117C">
              <w:t>0.4</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6C6B9856" w14:textId="77777777" w:rsidR="00A8117C" w:rsidRPr="00A8117C" w:rsidRDefault="00A8117C" w:rsidP="00A8117C">
            <w:r w:rsidRPr="00A8117C">
              <w:t>0.2</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hideMark/>
          </w:tcPr>
          <w:p w14:paraId="76C01659" w14:textId="77777777" w:rsidR="00A8117C" w:rsidRPr="00A8117C" w:rsidRDefault="00A8117C" w:rsidP="00A8117C">
            <w:r w:rsidRPr="00A8117C">
              <w:t>0.501</w:t>
            </w:r>
          </w:p>
        </w:tc>
      </w:tr>
      <w:tr w:rsidR="00A8117C" w:rsidRPr="00A8117C" w14:paraId="5A1D99F2"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504A02C3" w14:textId="77777777" w:rsidR="00A8117C" w:rsidRPr="00A8117C" w:rsidRDefault="00A8117C" w:rsidP="00A8117C">
            <w:r w:rsidRPr="00A8117C">
              <w:t>Campaspe</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4258D0CD" w14:textId="77777777" w:rsidR="00A8117C" w:rsidRPr="00A8117C" w:rsidRDefault="00A8117C" w:rsidP="00A8117C">
            <w:r w:rsidRPr="00A8117C">
              <w:t>29.7</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644F19C5" w14:textId="77777777" w:rsidR="00A8117C" w:rsidRPr="00A8117C" w:rsidRDefault="00A8117C" w:rsidP="00A8117C">
            <w:r w:rsidRPr="00A8117C">
              <w:t>28.6</w:t>
            </w:r>
          </w:p>
        </w:tc>
        <w:tc>
          <w:tcPr>
            <w:tcW w:w="2423" w:type="dxa"/>
            <w:tcBorders>
              <w:top w:val="single" w:sz="8" w:space="0" w:color="000000"/>
              <w:left w:val="single" w:sz="8" w:space="0" w:color="000000"/>
              <w:bottom w:val="single" w:sz="8" w:space="0" w:color="000000"/>
              <w:right w:val="single" w:sz="8" w:space="0" w:color="000000"/>
            </w:tcBorders>
            <w:shd w:val="clear" w:color="auto" w:fill="E97132"/>
            <w:tcMar>
              <w:top w:w="15" w:type="dxa"/>
              <w:left w:w="97" w:type="dxa"/>
              <w:bottom w:w="0" w:type="dxa"/>
              <w:right w:w="97" w:type="dxa"/>
            </w:tcMar>
            <w:hideMark/>
          </w:tcPr>
          <w:p w14:paraId="499C777A" w14:textId="77777777" w:rsidR="00A8117C" w:rsidRPr="00A8117C" w:rsidRDefault="00A8117C" w:rsidP="00A8117C">
            <w:r w:rsidRPr="00A8117C">
              <w:t>1.1</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12A06627" w14:textId="77777777" w:rsidR="00A8117C" w:rsidRPr="00A8117C" w:rsidRDefault="00A8117C" w:rsidP="00A8117C">
            <w:r w:rsidRPr="00A8117C">
              <w:t>0.3</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hideMark/>
          </w:tcPr>
          <w:p w14:paraId="2E7BB00C" w14:textId="77777777" w:rsidR="00A8117C" w:rsidRPr="00A8117C" w:rsidRDefault="00A8117C" w:rsidP="00A8117C">
            <w:r w:rsidRPr="00A8117C">
              <w:t>1.232</w:t>
            </w:r>
          </w:p>
        </w:tc>
      </w:tr>
      <w:tr w:rsidR="00A8117C" w:rsidRPr="00A8117C" w14:paraId="4D4702BE"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3CA7ADBC" w14:textId="77777777" w:rsidR="00A8117C" w:rsidRPr="00A8117C" w:rsidRDefault="00A8117C" w:rsidP="00A8117C">
            <w:r w:rsidRPr="00A8117C">
              <w:t>Goulburn</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07C0D074" w14:textId="77777777" w:rsidR="00A8117C" w:rsidRPr="00A8117C" w:rsidRDefault="00A8117C" w:rsidP="00A8117C">
            <w:r w:rsidRPr="00A8117C">
              <w:t>426.7</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0B09ACBD" w14:textId="77777777" w:rsidR="00A8117C" w:rsidRPr="00A8117C" w:rsidRDefault="00A8117C" w:rsidP="00A8117C">
            <w:r w:rsidRPr="00A8117C">
              <w:t>355.9</w:t>
            </w:r>
          </w:p>
        </w:tc>
        <w:tc>
          <w:tcPr>
            <w:tcW w:w="2423" w:type="dxa"/>
            <w:tcBorders>
              <w:top w:val="single" w:sz="8" w:space="0" w:color="000000"/>
              <w:left w:val="single" w:sz="8" w:space="0" w:color="000000"/>
              <w:bottom w:val="single" w:sz="8" w:space="0" w:color="000000"/>
              <w:right w:val="single" w:sz="8" w:space="0" w:color="000000"/>
            </w:tcBorders>
            <w:shd w:val="clear" w:color="auto" w:fill="E97132"/>
            <w:tcMar>
              <w:top w:w="15" w:type="dxa"/>
              <w:left w:w="97" w:type="dxa"/>
              <w:bottom w:w="0" w:type="dxa"/>
              <w:right w:w="97" w:type="dxa"/>
            </w:tcMar>
            <w:hideMark/>
          </w:tcPr>
          <w:p w14:paraId="0D3483CA" w14:textId="77777777" w:rsidR="00A8117C" w:rsidRPr="00A8117C" w:rsidRDefault="00A8117C" w:rsidP="00A8117C">
            <w:r w:rsidRPr="00A8117C">
              <w:t>70.8</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32B0878B" w14:textId="77777777" w:rsidR="00A8117C" w:rsidRPr="00A8117C" w:rsidRDefault="00A8117C" w:rsidP="00A8117C">
            <w:r w:rsidRPr="00A8117C">
              <w:t>48.7</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hideMark/>
          </w:tcPr>
          <w:p w14:paraId="394CAAF3" w14:textId="77777777" w:rsidR="00A8117C" w:rsidRPr="00A8117C" w:rsidRDefault="00A8117C" w:rsidP="00A8117C">
            <w:r w:rsidRPr="00A8117C">
              <w:t>54.984</w:t>
            </w:r>
          </w:p>
        </w:tc>
      </w:tr>
      <w:tr w:rsidR="00A8117C" w:rsidRPr="00A8117C" w14:paraId="46E58A54"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38412464" w14:textId="77777777" w:rsidR="00A8117C" w:rsidRPr="00A8117C" w:rsidRDefault="00A8117C" w:rsidP="00A8117C">
            <w:r w:rsidRPr="00A8117C">
              <w:t xml:space="preserve">Kiewa </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361DE359" w14:textId="77777777" w:rsidR="00A8117C" w:rsidRPr="00A8117C" w:rsidRDefault="00A8117C" w:rsidP="00A8117C">
            <w:r w:rsidRPr="00A8117C">
              <w:t>0.3</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33A7B110" w14:textId="77777777" w:rsidR="00A8117C" w:rsidRPr="00A8117C" w:rsidRDefault="00A8117C" w:rsidP="00A8117C">
            <w:r w:rsidRPr="00A8117C">
              <w:t>-</w:t>
            </w:r>
          </w:p>
        </w:tc>
        <w:tc>
          <w:tcPr>
            <w:tcW w:w="2423" w:type="dxa"/>
            <w:tcBorders>
              <w:top w:val="single" w:sz="8" w:space="0" w:color="000000"/>
              <w:left w:val="single" w:sz="8" w:space="0" w:color="000000"/>
              <w:bottom w:val="single" w:sz="8" w:space="0" w:color="000000"/>
              <w:right w:val="single" w:sz="8" w:space="0" w:color="000000"/>
            </w:tcBorders>
            <w:shd w:val="clear" w:color="auto" w:fill="E97132"/>
            <w:tcMar>
              <w:top w:w="15" w:type="dxa"/>
              <w:left w:w="97" w:type="dxa"/>
              <w:bottom w:w="0" w:type="dxa"/>
              <w:right w:w="97" w:type="dxa"/>
            </w:tcMar>
            <w:hideMark/>
          </w:tcPr>
          <w:p w14:paraId="43408396" w14:textId="77777777" w:rsidR="00A8117C" w:rsidRPr="00A8117C" w:rsidRDefault="00A8117C" w:rsidP="00A8117C">
            <w:r w:rsidRPr="00A8117C">
              <w:t>0.3</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1D04E3FE" w14:textId="77777777" w:rsidR="00A8117C" w:rsidRPr="00A8117C" w:rsidRDefault="00A8117C" w:rsidP="00A8117C">
            <w:r w:rsidRPr="00A8117C">
              <w:t>-</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hideMark/>
          </w:tcPr>
          <w:p w14:paraId="5FAB3A39" w14:textId="77777777" w:rsidR="00A8117C" w:rsidRPr="00A8117C" w:rsidRDefault="00A8117C" w:rsidP="00A8117C">
            <w:r w:rsidRPr="00A8117C">
              <w:t>0.778</w:t>
            </w:r>
          </w:p>
        </w:tc>
      </w:tr>
      <w:tr w:rsidR="00A8117C" w:rsidRPr="00A8117C" w14:paraId="1B2345F6" w14:textId="77777777" w:rsidTr="00A8117C">
        <w:trPr>
          <w:trHeight w:val="35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6EF88863" w14:textId="77777777" w:rsidR="00A8117C" w:rsidRPr="00A8117C" w:rsidRDefault="00A8117C" w:rsidP="00A8117C">
            <w:r w:rsidRPr="00A8117C">
              <w:t>Loddon</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4F952FEE" w14:textId="77777777" w:rsidR="00A8117C" w:rsidRPr="00A8117C" w:rsidRDefault="00A8117C" w:rsidP="00A8117C">
            <w:r w:rsidRPr="00A8117C">
              <w:t>15.3</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295CA1F1" w14:textId="77777777" w:rsidR="00A8117C" w:rsidRPr="00A8117C" w:rsidRDefault="00A8117C" w:rsidP="00A8117C">
            <w:r w:rsidRPr="00A8117C">
              <w:t>10.9</w:t>
            </w:r>
          </w:p>
        </w:tc>
        <w:tc>
          <w:tcPr>
            <w:tcW w:w="2423" w:type="dxa"/>
            <w:tcBorders>
              <w:top w:val="single" w:sz="8" w:space="0" w:color="000000"/>
              <w:left w:val="single" w:sz="8" w:space="0" w:color="000000"/>
              <w:bottom w:val="single" w:sz="8" w:space="0" w:color="000000"/>
              <w:right w:val="single" w:sz="8" w:space="0" w:color="000000"/>
            </w:tcBorders>
            <w:shd w:val="clear" w:color="auto" w:fill="E97132"/>
            <w:tcMar>
              <w:top w:w="15" w:type="dxa"/>
              <w:left w:w="97" w:type="dxa"/>
              <w:bottom w:w="0" w:type="dxa"/>
              <w:right w:w="97" w:type="dxa"/>
            </w:tcMar>
            <w:hideMark/>
          </w:tcPr>
          <w:p w14:paraId="61BD6447" w14:textId="77777777" w:rsidR="00A8117C" w:rsidRPr="00A8117C" w:rsidRDefault="00A8117C" w:rsidP="00A8117C">
            <w:r w:rsidRPr="00A8117C">
              <w:t>4.4</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39BCEDCE" w14:textId="77777777" w:rsidR="00A8117C" w:rsidRPr="00A8117C" w:rsidRDefault="00A8117C" w:rsidP="00A8117C">
            <w:r w:rsidRPr="00A8117C">
              <w:t>1.4</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hideMark/>
          </w:tcPr>
          <w:p w14:paraId="1FFBD4E6" w14:textId="77777777" w:rsidR="00A8117C" w:rsidRPr="00A8117C" w:rsidRDefault="00A8117C" w:rsidP="00A8117C">
            <w:r w:rsidRPr="00A8117C">
              <w:t>5.089</w:t>
            </w:r>
          </w:p>
        </w:tc>
      </w:tr>
      <w:tr w:rsidR="00A8117C" w:rsidRPr="00A8117C" w14:paraId="6259A8E2" w14:textId="77777777" w:rsidTr="00A8117C">
        <w:trPr>
          <w:trHeight w:val="301"/>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333FB001" w14:textId="77777777" w:rsidR="00A8117C" w:rsidRPr="00A8117C" w:rsidRDefault="00A8117C" w:rsidP="00A8117C">
            <w:r w:rsidRPr="00A8117C">
              <w:t xml:space="preserve">Ovens </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2D4FF4B3" w14:textId="77777777" w:rsidR="00A8117C" w:rsidRPr="00A8117C" w:rsidRDefault="00A8117C" w:rsidP="00A8117C">
            <w:r w:rsidRPr="00A8117C">
              <w:t>0.9</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6F6B44CD" w14:textId="77777777" w:rsidR="00A8117C" w:rsidRPr="00A8117C" w:rsidRDefault="00A8117C" w:rsidP="00A8117C">
            <w:r w:rsidRPr="00A8117C">
              <w:t>0.1</w:t>
            </w:r>
          </w:p>
        </w:tc>
        <w:tc>
          <w:tcPr>
            <w:tcW w:w="2423" w:type="dxa"/>
            <w:tcBorders>
              <w:top w:val="single" w:sz="8" w:space="0" w:color="000000"/>
              <w:left w:val="single" w:sz="8" w:space="0" w:color="000000"/>
              <w:bottom w:val="single" w:sz="8" w:space="0" w:color="000000"/>
              <w:right w:val="single" w:sz="8" w:space="0" w:color="000000"/>
            </w:tcBorders>
            <w:shd w:val="clear" w:color="auto" w:fill="E97132"/>
            <w:tcMar>
              <w:top w:w="15" w:type="dxa"/>
              <w:left w:w="97" w:type="dxa"/>
              <w:bottom w:w="0" w:type="dxa"/>
              <w:right w:w="97" w:type="dxa"/>
            </w:tcMar>
            <w:hideMark/>
          </w:tcPr>
          <w:p w14:paraId="013B5B25" w14:textId="77777777" w:rsidR="00A8117C" w:rsidRPr="00A8117C" w:rsidRDefault="00A8117C" w:rsidP="00A8117C">
            <w:r w:rsidRPr="00A8117C">
              <w:t>0.8</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5D2458DB" w14:textId="77777777" w:rsidR="00A8117C" w:rsidRPr="00A8117C" w:rsidRDefault="00A8117C" w:rsidP="00A8117C">
            <w:r w:rsidRPr="00A8117C">
              <w:t>-</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hideMark/>
          </w:tcPr>
          <w:p w14:paraId="5671AF29" w14:textId="77777777" w:rsidR="00A8117C" w:rsidRPr="00A8117C" w:rsidRDefault="00A8117C" w:rsidP="00A8117C">
            <w:r w:rsidRPr="00A8117C">
              <w:t>1.78</w:t>
            </w:r>
          </w:p>
        </w:tc>
      </w:tr>
      <w:tr w:rsidR="00A8117C" w:rsidRPr="00A8117C" w14:paraId="232DDF12" w14:textId="77777777" w:rsidTr="00A8117C">
        <w:trPr>
          <w:trHeight w:val="491"/>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24B0E302" w14:textId="77777777" w:rsidR="00A8117C" w:rsidRPr="00A8117C" w:rsidRDefault="00A8117C" w:rsidP="00A8117C">
            <w:r w:rsidRPr="00A8117C">
              <w:t>VIC Murray</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310195B3" w14:textId="77777777" w:rsidR="00A8117C" w:rsidRPr="00A8117C" w:rsidRDefault="00A8117C" w:rsidP="00A8117C">
            <w:r w:rsidRPr="00A8117C">
              <w:t>428.3</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24D8C2EE" w14:textId="77777777" w:rsidR="00A8117C" w:rsidRPr="00A8117C" w:rsidRDefault="00A8117C" w:rsidP="00A8117C">
            <w:r w:rsidRPr="00A8117C">
              <w:t>391.0</w:t>
            </w:r>
          </w:p>
        </w:tc>
        <w:tc>
          <w:tcPr>
            <w:tcW w:w="2423" w:type="dxa"/>
            <w:tcBorders>
              <w:top w:val="single" w:sz="8" w:space="0" w:color="000000"/>
              <w:left w:val="single" w:sz="8" w:space="0" w:color="000000"/>
              <w:bottom w:val="single" w:sz="8" w:space="0" w:color="000000"/>
              <w:right w:val="single" w:sz="8" w:space="0" w:color="000000"/>
            </w:tcBorders>
            <w:shd w:val="clear" w:color="auto" w:fill="E97132"/>
            <w:tcMar>
              <w:top w:w="15" w:type="dxa"/>
              <w:left w:w="97" w:type="dxa"/>
              <w:bottom w:w="0" w:type="dxa"/>
              <w:right w:w="97" w:type="dxa"/>
            </w:tcMar>
            <w:hideMark/>
          </w:tcPr>
          <w:p w14:paraId="2ABAE234" w14:textId="77777777" w:rsidR="00A8117C" w:rsidRPr="00A8117C" w:rsidRDefault="00A8117C" w:rsidP="00A8117C">
            <w:r w:rsidRPr="00A8117C">
              <w:t>37.3</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5E84B224" w14:textId="77777777" w:rsidR="00A8117C" w:rsidRPr="00A8117C" w:rsidRDefault="00A8117C" w:rsidP="00A8117C">
            <w:r w:rsidRPr="00A8117C">
              <w:t>45.5</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hideMark/>
          </w:tcPr>
          <w:p w14:paraId="23B2F356" w14:textId="77777777" w:rsidR="00A8117C" w:rsidRPr="00A8117C" w:rsidRDefault="00A8117C" w:rsidP="00A8117C">
            <w:r w:rsidRPr="00A8117C">
              <w:t>-10.854</w:t>
            </w:r>
          </w:p>
        </w:tc>
      </w:tr>
      <w:tr w:rsidR="00A8117C" w:rsidRPr="00A8117C" w14:paraId="6D7FB801"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tcMar>
              <w:top w:w="15" w:type="dxa"/>
              <w:left w:w="97" w:type="dxa"/>
              <w:bottom w:w="0" w:type="dxa"/>
              <w:right w:w="97" w:type="dxa"/>
            </w:tcMar>
            <w:hideMark/>
          </w:tcPr>
          <w:p w14:paraId="31D36B30" w14:textId="77777777" w:rsidR="00A8117C" w:rsidRPr="00A8117C" w:rsidRDefault="00A8117C" w:rsidP="00A8117C">
            <w:r w:rsidRPr="00A8117C">
              <w:t>SA Murray</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16C3EC61" w14:textId="77777777" w:rsidR="00A8117C" w:rsidRPr="00A8117C" w:rsidRDefault="00A8117C" w:rsidP="00A8117C">
            <w:r w:rsidRPr="00A8117C">
              <w:t>154.6</w:t>
            </w:r>
          </w:p>
        </w:tc>
        <w:tc>
          <w:tcPr>
            <w:tcW w:w="2422" w:type="dxa"/>
            <w:tcBorders>
              <w:top w:val="single" w:sz="8" w:space="0" w:color="000000"/>
              <w:left w:val="single" w:sz="8" w:space="0" w:color="000000"/>
              <w:bottom w:val="single" w:sz="8" w:space="0" w:color="000000"/>
              <w:right w:val="single" w:sz="8" w:space="0" w:color="000000"/>
            </w:tcBorders>
            <w:shd w:val="clear" w:color="auto" w:fill="CDDFF5"/>
            <w:tcMar>
              <w:top w:w="15" w:type="dxa"/>
              <w:left w:w="97" w:type="dxa"/>
              <w:bottom w:w="0" w:type="dxa"/>
              <w:right w:w="97" w:type="dxa"/>
            </w:tcMar>
            <w:hideMark/>
          </w:tcPr>
          <w:p w14:paraId="754FF3D7" w14:textId="77777777" w:rsidR="00A8117C" w:rsidRPr="00A8117C" w:rsidRDefault="00A8117C" w:rsidP="00A8117C">
            <w:r w:rsidRPr="00A8117C">
              <w:t>131.8</w:t>
            </w:r>
          </w:p>
        </w:tc>
        <w:tc>
          <w:tcPr>
            <w:tcW w:w="2423" w:type="dxa"/>
            <w:tcBorders>
              <w:top w:val="single" w:sz="8" w:space="0" w:color="000000"/>
              <w:left w:val="single" w:sz="8" w:space="0" w:color="000000"/>
              <w:bottom w:val="single" w:sz="8" w:space="0" w:color="000000"/>
              <w:right w:val="single" w:sz="8" w:space="0" w:color="000000"/>
            </w:tcBorders>
            <w:shd w:val="clear" w:color="auto" w:fill="E97132"/>
            <w:tcMar>
              <w:top w:w="15" w:type="dxa"/>
              <w:left w:w="97" w:type="dxa"/>
              <w:bottom w:w="0" w:type="dxa"/>
              <w:right w:w="97" w:type="dxa"/>
            </w:tcMar>
            <w:hideMark/>
          </w:tcPr>
          <w:p w14:paraId="174A7E90" w14:textId="77777777" w:rsidR="00A8117C" w:rsidRPr="00A8117C" w:rsidRDefault="00A8117C" w:rsidP="00A8117C">
            <w:r w:rsidRPr="00A8117C">
              <w:t>22.8</w:t>
            </w:r>
          </w:p>
        </w:tc>
        <w:tc>
          <w:tcPr>
            <w:tcW w:w="2422" w:type="dxa"/>
            <w:tcBorders>
              <w:top w:val="single" w:sz="8" w:space="0" w:color="000000"/>
              <w:left w:val="single" w:sz="8" w:space="0" w:color="000000"/>
              <w:bottom w:val="single" w:sz="8" w:space="0" w:color="000000"/>
              <w:right w:val="single" w:sz="8" w:space="0" w:color="000000"/>
            </w:tcBorders>
            <w:shd w:val="clear" w:color="auto" w:fill="EBF0DE"/>
            <w:tcMar>
              <w:top w:w="15" w:type="dxa"/>
              <w:left w:w="97" w:type="dxa"/>
              <w:bottom w:w="0" w:type="dxa"/>
              <w:right w:w="97" w:type="dxa"/>
            </w:tcMar>
            <w:hideMark/>
          </w:tcPr>
          <w:p w14:paraId="1FE60CBE" w14:textId="77777777" w:rsidR="00A8117C" w:rsidRPr="00A8117C" w:rsidRDefault="00A8117C" w:rsidP="00A8117C">
            <w:r w:rsidRPr="00A8117C">
              <w:t>15.7</w:t>
            </w:r>
          </w:p>
        </w:tc>
        <w:tc>
          <w:tcPr>
            <w:tcW w:w="2423" w:type="dxa"/>
            <w:tcBorders>
              <w:top w:val="single" w:sz="8" w:space="0" w:color="000000"/>
              <w:left w:val="single" w:sz="8" w:space="0" w:color="000000"/>
              <w:bottom w:val="single" w:sz="8" w:space="0" w:color="000000"/>
              <w:right w:val="single" w:sz="8" w:space="0" w:color="000000"/>
            </w:tcBorders>
            <w:shd w:val="clear" w:color="auto" w:fill="4BACC6"/>
            <w:tcMar>
              <w:top w:w="15" w:type="dxa"/>
              <w:left w:w="97" w:type="dxa"/>
              <w:bottom w:w="0" w:type="dxa"/>
              <w:right w:w="97" w:type="dxa"/>
            </w:tcMar>
            <w:hideMark/>
          </w:tcPr>
          <w:p w14:paraId="578391DD" w14:textId="77777777" w:rsidR="00A8117C" w:rsidRPr="00A8117C" w:rsidRDefault="00A8117C" w:rsidP="00A8117C">
            <w:r w:rsidRPr="00A8117C">
              <w:t>13.542</w:t>
            </w:r>
          </w:p>
        </w:tc>
      </w:tr>
      <w:tr w:rsidR="00A8117C" w:rsidRPr="00A8117C" w14:paraId="6436B79C"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57C2EDB5" w14:textId="77777777" w:rsidR="00A8117C" w:rsidRPr="00A8117C" w:rsidRDefault="00A8117C" w:rsidP="00A8117C">
            <w:r w:rsidRPr="00A8117C">
              <w:rPr>
                <w:b/>
                <w:bCs/>
              </w:rPr>
              <w:t>southern Basin total</w:t>
            </w: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6C260F98" w14:textId="77777777" w:rsidR="00A8117C" w:rsidRPr="00A8117C" w:rsidRDefault="00A8117C" w:rsidP="00A8117C">
            <w:r w:rsidRPr="00A8117C">
              <w:rPr>
                <w:b/>
                <w:bCs/>
              </w:rPr>
              <w:t>1,926.7</w:t>
            </w: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0B312811" w14:textId="77777777" w:rsidR="00A8117C" w:rsidRPr="00A8117C" w:rsidRDefault="00A8117C" w:rsidP="00A8117C">
            <w:r w:rsidRPr="00A8117C">
              <w:rPr>
                <w:b/>
                <w:bCs/>
              </w:rPr>
              <w:t>1,682.6</w:t>
            </w:r>
          </w:p>
        </w:tc>
        <w:tc>
          <w:tcPr>
            <w:tcW w:w="2423"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77DAD2BD" w14:textId="77777777" w:rsidR="00A8117C" w:rsidRPr="00A8117C" w:rsidRDefault="00A8117C" w:rsidP="00A8117C">
            <w:r w:rsidRPr="00A8117C">
              <w:rPr>
                <w:b/>
                <w:bCs/>
              </w:rPr>
              <w:t>265.40</w:t>
            </w: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20D39034" w14:textId="77777777" w:rsidR="00A8117C" w:rsidRPr="00A8117C" w:rsidRDefault="00A8117C" w:rsidP="00A8117C">
            <w:r w:rsidRPr="00A8117C">
              <w:rPr>
                <w:b/>
                <w:bCs/>
              </w:rPr>
              <w:t>193.2</w:t>
            </w:r>
          </w:p>
        </w:tc>
        <w:tc>
          <w:tcPr>
            <w:tcW w:w="2423"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6F4FD1F6" w14:textId="77777777" w:rsidR="00A8117C" w:rsidRPr="00A8117C" w:rsidRDefault="00A8117C" w:rsidP="00A8117C">
            <w:r w:rsidRPr="00A8117C">
              <w:rPr>
                <w:b/>
                <w:bCs/>
              </w:rPr>
              <w:t>146.836</w:t>
            </w:r>
          </w:p>
        </w:tc>
      </w:tr>
      <w:tr w:rsidR="00A8117C" w:rsidRPr="00A8117C" w14:paraId="745C3CA5" w14:textId="77777777" w:rsidTr="00A8117C">
        <w:trPr>
          <w:trHeight w:val="319"/>
        </w:trPr>
        <w:tc>
          <w:tcPr>
            <w:tcW w:w="2424"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222ED595" w14:textId="77777777" w:rsidR="00A8117C" w:rsidRPr="00A8117C" w:rsidRDefault="00A8117C" w:rsidP="00A8117C">
            <w:r w:rsidRPr="00A8117C">
              <w:rPr>
                <w:b/>
                <w:bCs/>
              </w:rPr>
              <w:t>TOTALS</w:t>
            </w: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79C47CE8" w14:textId="77777777" w:rsidR="00A8117C" w:rsidRPr="00A8117C" w:rsidRDefault="00A8117C" w:rsidP="00A8117C">
            <w:r w:rsidRPr="00A8117C">
              <w:rPr>
                <w:b/>
                <w:bCs/>
              </w:rPr>
              <w:t>2,246.7</w:t>
            </w: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01F8D0F0" w14:textId="77777777" w:rsidR="00A8117C" w:rsidRPr="00A8117C" w:rsidRDefault="00A8117C" w:rsidP="00A8117C">
            <w:r w:rsidRPr="00A8117C">
              <w:rPr>
                <w:b/>
                <w:bCs/>
              </w:rPr>
              <w:t>2,003.8 </w:t>
            </w:r>
          </w:p>
        </w:tc>
        <w:tc>
          <w:tcPr>
            <w:tcW w:w="2423" w:type="dxa"/>
            <w:tcBorders>
              <w:top w:val="single" w:sz="8" w:space="0" w:color="000000"/>
              <w:left w:val="single" w:sz="8" w:space="0" w:color="000000"/>
              <w:bottom w:val="single" w:sz="8" w:space="0" w:color="000000"/>
              <w:right w:val="single" w:sz="8" w:space="0" w:color="000000"/>
            </w:tcBorders>
            <w:shd w:val="clear" w:color="auto" w:fill="ED7D31"/>
            <w:tcMar>
              <w:top w:w="15" w:type="dxa"/>
              <w:left w:w="97" w:type="dxa"/>
              <w:bottom w:w="0" w:type="dxa"/>
              <w:right w:w="97" w:type="dxa"/>
            </w:tcMar>
            <w:hideMark/>
          </w:tcPr>
          <w:p w14:paraId="41743605" w14:textId="77777777" w:rsidR="00A8117C" w:rsidRPr="00A8117C" w:rsidRDefault="00A8117C" w:rsidP="00A8117C">
            <w:r w:rsidRPr="00A8117C">
              <w:rPr>
                <w:b/>
                <w:bCs/>
              </w:rPr>
              <w:t>270.2</w:t>
            </w: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22492574" w14:textId="77777777" w:rsidR="00A8117C" w:rsidRPr="00A8117C" w:rsidRDefault="00A8117C" w:rsidP="00A8117C">
            <w:r w:rsidRPr="00A8117C">
              <w:rPr>
                <w:b/>
                <w:bCs/>
              </w:rPr>
              <w:t>221.3</w:t>
            </w:r>
          </w:p>
        </w:tc>
        <w:tc>
          <w:tcPr>
            <w:tcW w:w="2423"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hideMark/>
          </w:tcPr>
          <w:p w14:paraId="6B2E9021" w14:textId="77777777" w:rsidR="00A8117C" w:rsidRPr="00A8117C" w:rsidRDefault="00A8117C" w:rsidP="00A8117C">
            <w:r w:rsidRPr="00A8117C">
              <w:rPr>
                <w:b/>
                <w:bCs/>
              </w:rPr>
              <w:t>118.914</w:t>
            </w:r>
          </w:p>
        </w:tc>
      </w:tr>
      <w:tr w:rsidR="002C1901" w:rsidRPr="00A8117C" w14:paraId="64AAA735" w14:textId="77777777" w:rsidTr="0056049F">
        <w:trPr>
          <w:trHeight w:val="319"/>
        </w:trPr>
        <w:tc>
          <w:tcPr>
            <w:tcW w:w="2424"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tcPr>
          <w:p w14:paraId="5CF31F0B" w14:textId="77777777" w:rsidR="002C1901" w:rsidRPr="00A8117C" w:rsidRDefault="002C1901" w:rsidP="00A8117C">
            <w:pPr>
              <w:rPr>
                <w:b/>
                <w:bCs/>
              </w:rPr>
            </w:pP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tcPr>
          <w:p w14:paraId="75FACD66" w14:textId="77777777" w:rsidR="002C1901" w:rsidRPr="00A8117C" w:rsidRDefault="002C1901" w:rsidP="00A8117C">
            <w:pPr>
              <w:rPr>
                <w:b/>
                <w:bCs/>
              </w:rPr>
            </w:pPr>
          </w:p>
        </w:tc>
        <w:tc>
          <w:tcPr>
            <w:tcW w:w="2422"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tcPr>
          <w:p w14:paraId="31A6AB2E" w14:textId="77777777" w:rsidR="002C1901" w:rsidRPr="00A8117C" w:rsidRDefault="002C1901" w:rsidP="00A8117C">
            <w:pPr>
              <w:rPr>
                <w:b/>
                <w:bCs/>
              </w:rPr>
            </w:pPr>
          </w:p>
        </w:tc>
        <w:tc>
          <w:tcPr>
            <w:tcW w:w="2423"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tcPr>
          <w:p w14:paraId="6201D78E" w14:textId="77777777" w:rsidR="002C1901" w:rsidRPr="00A8117C" w:rsidRDefault="002C1901" w:rsidP="00A8117C">
            <w:pPr>
              <w:rPr>
                <w:b/>
                <w:bCs/>
              </w:rPr>
            </w:pPr>
          </w:p>
        </w:tc>
        <w:tc>
          <w:tcPr>
            <w:tcW w:w="2422" w:type="dxa"/>
            <w:tcBorders>
              <w:top w:val="single" w:sz="8" w:space="0" w:color="000000"/>
              <w:left w:val="single" w:sz="8" w:space="0" w:color="000000"/>
              <w:bottom w:val="single" w:sz="8" w:space="0" w:color="000000"/>
              <w:right w:val="single" w:sz="8" w:space="0" w:color="000000"/>
            </w:tcBorders>
            <w:shd w:val="clear" w:color="auto" w:fill="F37003"/>
            <w:tcMar>
              <w:top w:w="15" w:type="dxa"/>
              <w:left w:w="97" w:type="dxa"/>
              <w:bottom w:w="0" w:type="dxa"/>
              <w:right w:w="97" w:type="dxa"/>
            </w:tcMar>
          </w:tcPr>
          <w:p w14:paraId="7BB7463D" w14:textId="5E982BF6" w:rsidR="002C1901" w:rsidRPr="00A8117C" w:rsidRDefault="0056049F" w:rsidP="00A8117C">
            <w:pPr>
              <w:rPr>
                <w:b/>
                <w:bCs/>
              </w:rPr>
            </w:pPr>
            <w:r>
              <w:rPr>
                <w:b/>
                <w:bCs/>
              </w:rPr>
              <w:t xml:space="preserve">~ </w:t>
            </w:r>
            <w:r w:rsidR="002C1901">
              <w:rPr>
                <w:b/>
                <w:bCs/>
              </w:rPr>
              <w:t>228.7</w:t>
            </w:r>
          </w:p>
        </w:tc>
        <w:tc>
          <w:tcPr>
            <w:tcW w:w="2423" w:type="dxa"/>
            <w:tcBorders>
              <w:top w:val="single" w:sz="8" w:space="0" w:color="000000"/>
              <w:left w:val="single" w:sz="8" w:space="0" w:color="000000"/>
              <w:bottom w:val="single" w:sz="8" w:space="0" w:color="000000"/>
              <w:right w:val="single" w:sz="8" w:space="0" w:color="000000"/>
            </w:tcBorders>
            <w:shd w:val="clear" w:color="auto" w:fill="002060"/>
            <w:tcMar>
              <w:top w:w="15" w:type="dxa"/>
              <w:left w:w="97" w:type="dxa"/>
              <w:bottom w:w="0" w:type="dxa"/>
              <w:right w:w="97" w:type="dxa"/>
            </w:tcMar>
          </w:tcPr>
          <w:p w14:paraId="410E8254" w14:textId="77777777" w:rsidR="002C1901" w:rsidRPr="00A8117C" w:rsidRDefault="002C1901" w:rsidP="00A8117C">
            <w:pPr>
              <w:rPr>
                <w:b/>
                <w:bCs/>
              </w:rPr>
            </w:pPr>
          </w:p>
        </w:tc>
      </w:tr>
    </w:tbl>
    <w:p w14:paraId="2140B9CB" w14:textId="77777777" w:rsidR="00A8117C" w:rsidRDefault="00A8117C" w:rsidP="00E266A1"/>
    <w:p w14:paraId="0CBF30E6" w14:textId="77777777" w:rsidR="009751E7" w:rsidRDefault="009751E7" w:rsidP="00E266A1">
      <w:pPr>
        <w:sectPr w:rsidR="009751E7" w:rsidSect="00911A1E">
          <w:pgSz w:w="16838" w:h="11906" w:orient="landscape"/>
          <w:pgMar w:top="1440" w:right="1440" w:bottom="1440" w:left="1440" w:header="708" w:footer="708" w:gutter="0"/>
          <w:cols w:space="708"/>
          <w:titlePg/>
          <w:docGrid w:linePitch="360"/>
        </w:sectPr>
      </w:pPr>
    </w:p>
    <w:tbl>
      <w:tblPr>
        <w:tblStyle w:val="TableGrid"/>
        <w:tblW w:w="12050" w:type="dxa"/>
        <w:tblInd w:w="-1418" w:type="dxa"/>
        <w:tblLook w:val="04A0" w:firstRow="1" w:lastRow="0" w:firstColumn="1" w:lastColumn="0" w:noHBand="0" w:noVBand="1"/>
      </w:tblPr>
      <w:tblGrid>
        <w:gridCol w:w="12050"/>
      </w:tblGrid>
      <w:tr w:rsidR="00257EFB" w14:paraId="0A9489CF" w14:textId="77777777">
        <w:tc>
          <w:tcPr>
            <w:tcW w:w="12050" w:type="dxa"/>
            <w:tcBorders>
              <w:top w:val="nil"/>
              <w:left w:val="nil"/>
              <w:bottom w:val="nil"/>
              <w:right w:val="nil"/>
            </w:tcBorders>
            <w:shd w:val="clear" w:color="auto" w:fill="00538F" w:themeFill="accent1" w:themeFillShade="BF"/>
          </w:tcPr>
          <w:p w14:paraId="69EE8FBA" w14:textId="77777777" w:rsidR="00257EFB" w:rsidRDefault="00257EFB"/>
          <w:p w14:paraId="000CD22E" w14:textId="77777777" w:rsidR="00257EFB" w:rsidRDefault="00257EFB"/>
          <w:p w14:paraId="06E7D41B" w14:textId="77777777" w:rsidR="00257EFB" w:rsidRDefault="00257EFB"/>
          <w:p w14:paraId="06C0B56E" w14:textId="77777777" w:rsidR="00257EFB" w:rsidRDefault="00257EFB"/>
          <w:p w14:paraId="29FCDEC6" w14:textId="77777777" w:rsidR="00257EFB" w:rsidRDefault="00257EFB"/>
          <w:p w14:paraId="64FB20D9" w14:textId="77777777" w:rsidR="00257EFB" w:rsidRDefault="00257EFB"/>
          <w:p w14:paraId="11280112" w14:textId="77777777" w:rsidR="00257EFB" w:rsidRDefault="00257EFB"/>
          <w:p w14:paraId="46BDDA05" w14:textId="77777777" w:rsidR="00257EFB" w:rsidRDefault="00257EFB"/>
          <w:p w14:paraId="7C61BA6B" w14:textId="77777777" w:rsidR="00257EFB" w:rsidRDefault="00257EFB"/>
          <w:p w14:paraId="4C399B73" w14:textId="77777777" w:rsidR="00257EFB" w:rsidRDefault="00257EFB"/>
          <w:p w14:paraId="590D58ED" w14:textId="77777777" w:rsidR="00257EFB" w:rsidRDefault="00257EFB"/>
          <w:p w14:paraId="7019673E" w14:textId="77777777" w:rsidR="00257EFB" w:rsidRDefault="00257EFB"/>
          <w:p w14:paraId="199AABFD" w14:textId="77777777" w:rsidR="00257EFB" w:rsidRDefault="00257EFB"/>
          <w:p w14:paraId="5DC4C321" w14:textId="77777777" w:rsidR="00257EFB" w:rsidRDefault="00257EFB"/>
          <w:p w14:paraId="607EA7FF" w14:textId="4E0D5357" w:rsidR="00257EFB" w:rsidRPr="002915D1" w:rsidRDefault="00257EFB" w:rsidP="002915D1">
            <w:pPr>
              <w:pStyle w:val="Heading1"/>
              <w:ind w:left="1440"/>
              <w:rPr>
                <w:b/>
                <w:bCs/>
                <w:color w:val="FFFFFF" w:themeColor="background1"/>
                <w:sz w:val="72"/>
                <w:szCs w:val="72"/>
              </w:rPr>
            </w:pPr>
            <w:bookmarkStart w:id="13" w:name="_Toc243660155"/>
            <w:r w:rsidRPr="002915D1">
              <w:rPr>
                <w:b/>
                <w:bCs/>
                <w:color w:val="FFFFFF" w:themeColor="background1"/>
                <w:sz w:val="72"/>
                <w:szCs w:val="72"/>
              </w:rPr>
              <w:t>Part 2: NIC Response</w:t>
            </w:r>
            <w:bookmarkEnd w:id="13"/>
          </w:p>
          <w:p w14:paraId="3029A7E2" w14:textId="77777777" w:rsidR="00257EFB" w:rsidRDefault="00257EFB"/>
          <w:p w14:paraId="491A560D" w14:textId="77777777" w:rsidR="00257EFB" w:rsidRDefault="00257EFB"/>
          <w:p w14:paraId="12641F78" w14:textId="77777777" w:rsidR="00257EFB" w:rsidRDefault="00257EFB"/>
          <w:p w14:paraId="261803E8" w14:textId="77777777" w:rsidR="00257EFB" w:rsidRDefault="00257EFB"/>
          <w:p w14:paraId="025A8F6F" w14:textId="77777777" w:rsidR="00257EFB" w:rsidRDefault="00257EFB"/>
          <w:p w14:paraId="673D58FB" w14:textId="77777777" w:rsidR="00257EFB" w:rsidRDefault="00257EFB"/>
          <w:p w14:paraId="378B9637" w14:textId="77777777" w:rsidR="00257EFB" w:rsidRDefault="00257EFB"/>
          <w:p w14:paraId="010E7E39" w14:textId="77777777" w:rsidR="00257EFB" w:rsidRDefault="00257EFB"/>
          <w:p w14:paraId="240CF3B3" w14:textId="77777777" w:rsidR="00257EFB" w:rsidRDefault="00257EFB"/>
          <w:p w14:paraId="1FEDED34" w14:textId="77777777" w:rsidR="00257EFB" w:rsidRDefault="00257EFB"/>
          <w:p w14:paraId="05B19456" w14:textId="77777777" w:rsidR="00257EFB" w:rsidRDefault="00257EFB"/>
          <w:p w14:paraId="08945810" w14:textId="77777777" w:rsidR="00257EFB" w:rsidRDefault="00257EFB"/>
          <w:p w14:paraId="3E030B1B" w14:textId="77777777" w:rsidR="00257EFB" w:rsidRDefault="00257EFB"/>
          <w:p w14:paraId="15CDF03A" w14:textId="77777777" w:rsidR="00257EFB" w:rsidRDefault="00257EFB"/>
          <w:p w14:paraId="1885A1F6" w14:textId="77777777" w:rsidR="00257EFB" w:rsidRDefault="00257EFB"/>
          <w:p w14:paraId="59A31961" w14:textId="77777777" w:rsidR="00257EFB" w:rsidRDefault="00257EFB"/>
          <w:p w14:paraId="61119539" w14:textId="77777777" w:rsidR="00257EFB" w:rsidRDefault="00257EFB"/>
          <w:p w14:paraId="7A9696A0" w14:textId="77777777" w:rsidR="00257EFB" w:rsidRDefault="00257EFB"/>
          <w:p w14:paraId="7E1D800B" w14:textId="77777777" w:rsidR="00257EFB" w:rsidRDefault="00257EFB"/>
          <w:p w14:paraId="4CC61304" w14:textId="77777777" w:rsidR="00257EFB" w:rsidRDefault="00257EFB"/>
          <w:p w14:paraId="65D46561" w14:textId="77777777" w:rsidR="00257EFB" w:rsidRDefault="00257EFB"/>
          <w:p w14:paraId="20422DC8" w14:textId="77777777" w:rsidR="00257EFB" w:rsidRDefault="00257EFB"/>
          <w:p w14:paraId="25E30895" w14:textId="77777777" w:rsidR="00257EFB" w:rsidRDefault="00257EFB"/>
          <w:p w14:paraId="11CCF514" w14:textId="77777777" w:rsidR="00257EFB" w:rsidRDefault="00257EFB"/>
          <w:p w14:paraId="7EE2B589" w14:textId="77777777" w:rsidR="00257EFB" w:rsidRDefault="00257EFB"/>
          <w:p w14:paraId="5A5B4E97" w14:textId="77777777" w:rsidR="00257EFB" w:rsidRDefault="00257EFB"/>
          <w:p w14:paraId="7BE2E093" w14:textId="77777777" w:rsidR="00257EFB" w:rsidRDefault="00257EFB"/>
          <w:p w14:paraId="49CE72EB" w14:textId="77777777" w:rsidR="00257EFB" w:rsidRDefault="00257EFB"/>
          <w:p w14:paraId="101B839B" w14:textId="77777777" w:rsidR="00257EFB" w:rsidRDefault="00257EFB"/>
        </w:tc>
      </w:tr>
    </w:tbl>
    <w:p w14:paraId="34AC2F14" w14:textId="61157CA9" w:rsidR="00344051" w:rsidRDefault="00344051" w:rsidP="00C11F4A">
      <w:pPr>
        <w:pStyle w:val="Heading1"/>
      </w:pPr>
      <w:bookmarkStart w:id="14" w:name="_Toc243660156"/>
      <w:r>
        <w:t>Move away from ‘buckets’ of recovery to core objective of SDL compliance</w:t>
      </w:r>
      <w:bookmarkEnd w:id="14"/>
      <w:r>
        <w:t xml:space="preserve"> </w:t>
      </w:r>
    </w:p>
    <w:p w14:paraId="422C57AA" w14:textId="47DE4EE4" w:rsidR="002A732D" w:rsidRDefault="002A732D" w:rsidP="00F14D88">
      <w:pPr>
        <w:jc w:val="both"/>
      </w:pPr>
      <w:r>
        <w:t xml:space="preserve">The core objective of the Basin Plan was to establish Sustainable Diversion Limits (SDLs), and to provide for pathways to reduce diversions </w:t>
      </w:r>
      <w:proofErr w:type="gramStart"/>
      <w:r>
        <w:t>in order to</w:t>
      </w:r>
      <w:proofErr w:type="gramEnd"/>
      <w:r>
        <w:t xml:space="preserve"> comply with these new lower limits. </w:t>
      </w:r>
      <w:r w:rsidR="0068111B">
        <w:t xml:space="preserve">Put simply, water recovery was the </w:t>
      </w:r>
      <w:r w:rsidR="0068111B" w:rsidRPr="004D5D9A">
        <w:rPr>
          <w:i/>
          <w:iCs/>
        </w:rPr>
        <w:t>means</w:t>
      </w:r>
      <w:r w:rsidR="0068111B">
        <w:t xml:space="preserve">, to the </w:t>
      </w:r>
      <w:r w:rsidR="0068111B" w:rsidRPr="004D5D9A">
        <w:rPr>
          <w:i/>
          <w:iCs/>
        </w:rPr>
        <w:t>end</w:t>
      </w:r>
      <w:r w:rsidR="0068111B">
        <w:t xml:space="preserve">-goal of achieving compliance with SDLs. </w:t>
      </w:r>
    </w:p>
    <w:p w14:paraId="3718D4A5" w14:textId="5423F45D" w:rsidR="0068111B" w:rsidRDefault="0068111B" w:rsidP="00F14D88">
      <w:pPr>
        <w:jc w:val="both"/>
      </w:pPr>
      <w:r>
        <w:t xml:space="preserve">NIC is concerned that over time the focus of the implementation of the Plan has shifted to be focused on simply </w:t>
      </w:r>
      <w:r w:rsidR="004D5D9A">
        <w:t>acquiring</w:t>
      </w:r>
      <w:r>
        <w:t xml:space="preserve"> water recovery targets, detached from </w:t>
      </w:r>
      <w:r w:rsidR="00DD68DA">
        <w:t xml:space="preserve">the core purpose </w:t>
      </w:r>
      <w:r w:rsidR="004D5D9A">
        <w:t>of what that</w:t>
      </w:r>
      <w:r w:rsidR="00DD68DA">
        <w:t xml:space="preserve"> was meant to serve, to achieve SDL compliance. </w:t>
      </w:r>
    </w:p>
    <w:p w14:paraId="49C7CF4D" w14:textId="79C8FBC3" w:rsidR="00DD68DA" w:rsidRDefault="00DD68DA" w:rsidP="00F14D88">
      <w:pPr>
        <w:jc w:val="both"/>
      </w:pPr>
      <w:r>
        <w:t>This h</w:t>
      </w:r>
      <w:r w:rsidR="00606C4E">
        <w:t>a</w:t>
      </w:r>
      <w:r>
        <w:t xml:space="preserve">s undermined confidence and integrity in the implementation of the Plan, as it appears </w:t>
      </w:r>
      <w:r w:rsidR="00606C4E">
        <w:t>Government</w:t>
      </w:r>
      <w:r>
        <w:t xml:space="preserve"> is recovering water for the sake of it, to achieve arbitrary targets, </w:t>
      </w:r>
      <w:r w:rsidR="00606C4E">
        <w:t>increasingly detached from scientific reasoning</w:t>
      </w:r>
      <w:r w:rsidR="004D5D9A">
        <w:t xml:space="preserve">, </w:t>
      </w:r>
      <w:r w:rsidR="00210009">
        <w:t xml:space="preserve">environmental outcomes, </w:t>
      </w:r>
      <w:r w:rsidR="004D5D9A">
        <w:t xml:space="preserve">and now entirely de-linked from the </w:t>
      </w:r>
      <w:r w:rsidR="00900556">
        <w:t xml:space="preserve">primary </w:t>
      </w:r>
      <w:r w:rsidR="004D5D9A">
        <w:t xml:space="preserve">objective of achieving SDL compliance. </w:t>
      </w:r>
      <w:r w:rsidR="47C74009">
        <w:t xml:space="preserve">The </w:t>
      </w:r>
      <w:r w:rsidR="284115F8">
        <w:t>Productivity</w:t>
      </w:r>
      <w:r w:rsidR="47C74009">
        <w:t xml:space="preserve"> Commission warned of this risk</w:t>
      </w:r>
      <w:r w:rsidRPr="5DE893CE">
        <w:rPr>
          <w:rStyle w:val="FootnoteReference"/>
        </w:rPr>
        <w:footnoteReference w:id="4"/>
      </w:r>
      <w:r w:rsidR="47C74009">
        <w:t xml:space="preserve"> in their 2024 Inquiry into the Murray Darling Basin Plan. </w:t>
      </w:r>
    </w:p>
    <w:p w14:paraId="5FFC4B16" w14:textId="165BABC5" w:rsidR="00900556" w:rsidRDefault="00900556" w:rsidP="00F14D88">
      <w:pPr>
        <w:jc w:val="both"/>
      </w:pPr>
      <w:r>
        <w:t xml:space="preserve">From the perspective of stakeholders, the only remaining reasoning being provided </w:t>
      </w:r>
      <w:r w:rsidR="00460C43">
        <w:t xml:space="preserve">for further water recovery is political motivations, such as to meet “promises” or election commitments – rather than actual contemporary scientific evidence. </w:t>
      </w:r>
      <w:r w:rsidR="00E57F97">
        <w:t xml:space="preserve">In fact, the science is increasingly telling a different story that the environmental pressures require direct measures, and </w:t>
      </w:r>
      <w:r w:rsidR="005303B8">
        <w:t xml:space="preserve">that </w:t>
      </w:r>
      <w:r w:rsidR="00E57F97">
        <w:t xml:space="preserve">further water recovery (or SDL changes) cannot achieve those objectives (as explored in the subsequent section). </w:t>
      </w:r>
    </w:p>
    <w:p w14:paraId="60F60F6E" w14:textId="5ABACF8B" w:rsidR="000C1DFE" w:rsidRDefault="00344F54" w:rsidP="000C1DFE">
      <w:pPr>
        <w:jc w:val="center"/>
      </w:pPr>
      <w:r>
        <w:rPr>
          <w:b/>
          <w:bCs/>
          <w:i/>
          <w:iCs/>
          <w:color w:val="00538F" w:themeColor="accent1" w:themeShade="BF"/>
        </w:rPr>
        <w:t>Recommendation</w:t>
      </w:r>
      <w:r w:rsidRPr="00E9306E">
        <w:rPr>
          <w:b/>
          <w:bCs/>
          <w:i/>
          <w:iCs/>
          <w:color w:val="00538F" w:themeColor="accent1" w:themeShade="BF"/>
        </w:rPr>
        <w:t xml:space="preserve"> </w:t>
      </w:r>
      <w:r>
        <w:rPr>
          <w:b/>
          <w:bCs/>
          <w:i/>
          <w:iCs/>
          <w:color w:val="00538F" w:themeColor="accent1" w:themeShade="BF"/>
        </w:rPr>
        <w:t>2</w:t>
      </w:r>
      <w:r w:rsidRPr="00E9306E">
        <w:rPr>
          <w:b/>
          <w:bCs/>
          <w:i/>
          <w:iCs/>
          <w:color w:val="00538F" w:themeColor="accent1" w:themeShade="BF"/>
        </w:rPr>
        <w:t xml:space="preserve">: </w:t>
      </w:r>
      <w:r w:rsidR="005303B8" w:rsidRPr="00E84697">
        <w:rPr>
          <w:b/>
          <w:bCs/>
          <w:i/>
          <w:iCs/>
          <w:color w:val="00538F" w:themeColor="accent1" w:themeShade="BF"/>
        </w:rPr>
        <w:t xml:space="preserve">NIC recommend that </w:t>
      </w:r>
      <w:r w:rsidR="00A66CB4" w:rsidRPr="00E84697">
        <w:rPr>
          <w:b/>
          <w:bCs/>
          <w:i/>
          <w:iCs/>
          <w:color w:val="00538F" w:themeColor="accent1" w:themeShade="BF"/>
        </w:rPr>
        <w:t>in the advice the MDBA provides to the Minister to inform the decision</w:t>
      </w:r>
      <w:r w:rsidR="005303B8" w:rsidRPr="00E84697">
        <w:rPr>
          <w:b/>
          <w:bCs/>
          <w:i/>
          <w:iCs/>
          <w:color w:val="00538F" w:themeColor="accent1" w:themeShade="BF"/>
        </w:rPr>
        <w:t xml:space="preserve"> on the SDLAM Reconciliation</w:t>
      </w:r>
      <w:r w:rsidR="00A66CB4" w:rsidRPr="00E84697">
        <w:rPr>
          <w:b/>
          <w:bCs/>
          <w:i/>
          <w:iCs/>
          <w:color w:val="00538F" w:themeColor="accent1" w:themeShade="BF"/>
        </w:rPr>
        <w:t>, it will be critical</w:t>
      </w:r>
      <w:r w:rsidR="005303B8" w:rsidRPr="00E84697">
        <w:rPr>
          <w:b/>
          <w:bCs/>
          <w:i/>
          <w:iCs/>
          <w:color w:val="00538F" w:themeColor="accent1" w:themeShade="BF"/>
        </w:rPr>
        <w:t xml:space="preserve"> to take an outcomes-focused approach</w:t>
      </w:r>
      <w:r w:rsidRPr="00E84697">
        <w:rPr>
          <w:b/>
          <w:bCs/>
          <w:i/>
          <w:iCs/>
          <w:color w:val="00538F" w:themeColor="accent1" w:themeShade="BF"/>
        </w:rPr>
        <w:t>. Put simply, one focused on the objective of SDL compliance, rather than simple and arbitrary water recovery targets.</w:t>
      </w:r>
    </w:p>
    <w:p w14:paraId="58787099" w14:textId="1FC4EE48" w:rsidR="005303B8" w:rsidRDefault="00344F54" w:rsidP="00F14D88">
      <w:pPr>
        <w:jc w:val="both"/>
      </w:pPr>
      <w:r>
        <w:t>Specifically:</w:t>
      </w:r>
    </w:p>
    <w:p w14:paraId="581297DA" w14:textId="3497DBD3" w:rsidR="00A66CB4" w:rsidRDefault="00A66CB4" w:rsidP="00F14D88">
      <w:pPr>
        <w:pStyle w:val="ListParagraph"/>
        <w:numPr>
          <w:ilvl w:val="0"/>
          <w:numId w:val="17"/>
        </w:numPr>
        <w:jc w:val="both"/>
      </w:pPr>
      <w:r>
        <w:t xml:space="preserve">What is required to achieve </w:t>
      </w:r>
      <w:r w:rsidR="004D0B34">
        <w:t xml:space="preserve">the Basin Plan’s purpose of SDL compliance, not just a simple </w:t>
      </w:r>
      <w:r w:rsidR="225ACBAF">
        <w:t xml:space="preserve">numerical </w:t>
      </w:r>
      <w:r w:rsidR="004D0B34">
        <w:t>approach of progress against</w:t>
      </w:r>
      <w:r w:rsidR="00E10CC2">
        <w:t xml:space="preserve"> (now arbitrary and outdated)</w:t>
      </w:r>
      <w:r w:rsidR="004D0B34">
        <w:t xml:space="preserve"> water recovery targets</w:t>
      </w:r>
      <w:r w:rsidR="00D522DD">
        <w:t>.</w:t>
      </w:r>
    </w:p>
    <w:p w14:paraId="43AC46E6" w14:textId="749F3E51" w:rsidR="002A732D" w:rsidRDefault="00E10CC2" w:rsidP="00F14D88">
      <w:pPr>
        <w:pStyle w:val="ListParagraph"/>
        <w:numPr>
          <w:ilvl w:val="0"/>
          <w:numId w:val="17"/>
        </w:numPr>
        <w:jc w:val="both"/>
      </w:pPr>
      <w:r>
        <w:t>What is required to address the environmental pressures in the Basin, building on the evidence base now provided through the 2026 Basin Plan Review as the contemporary best available science</w:t>
      </w:r>
      <w:r w:rsidR="00D522DD">
        <w:t>.</w:t>
      </w:r>
    </w:p>
    <w:p w14:paraId="076C0443" w14:textId="308CE330" w:rsidR="00311434" w:rsidRDefault="00311434" w:rsidP="00F14D88">
      <w:pPr>
        <w:jc w:val="both"/>
      </w:pPr>
      <w:r>
        <w:t>Taking a simple and siloed view of reporting progress towards water recovery targets</w:t>
      </w:r>
      <w:r w:rsidR="00F14D88">
        <w:t>, risks going beyond what the Basin Plan was designed to do,</w:t>
      </w:r>
      <w:r w:rsidR="002225CC">
        <w:t xml:space="preserve"> and</w:t>
      </w:r>
      <w:r w:rsidR="00F14D88">
        <w:t xml:space="preserve"> risks investment in measures that are not the environmental priority for the Basin (with large taxpayer costs and </w:t>
      </w:r>
      <w:r w:rsidR="00E8000C">
        <w:t>socio-economic</w:t>
      </w:r>
      <w:r w:rsidR="00F14D88">
        <w:t xml:space="preserve"> impacts). </w:t>
      </w:r>
    </w:p>
    <w:p w14:paraId="0BFEADA2" w14:textId="202EB18B" w:rsidR="008603BA" w:rsidRDefault="008603BA" w:rsidP="00C86E79">
      <w:pPr>
        <w:pStyle w:val="Heading2"/>
      </w:pPr>
      <w:bookmarkStart w:id="15" w:name="_Toc243660157"/>
      <w:r>
        <w:t>What does delivering the Plan “in full” look like?</w:t>
      </w:r>
      <w:bookmarkEnd w:id="15"/>
    </w:p>
    <w:p w14:paraId="7A75397D" w14:textId="3847B6C2" w:rsidR="008603BA" w:rsidRDefault="008603BA" w:rsidP="00D437C4">
      <w:pPr>
        <w:jc w:val="both"/>
      </w:pPr>
      <w:r>
        <w:t xml:space="preserve">NIC notes the Federal Governments policy position to deliver the Basin Plan “in full”, yet </w:t>
      </w:r>
      <w:r w:rsidR="0064321D">
        <w:t xml:space="preserve">there are multiple interpretations of what “in full” </w:t>
      </w:r>
      <w:proofErr w:type="gramStart"/>
      <w:r w:rsidR="0064321D">
        <w:t>actually means</w:t>
      </w:r>
      <w:proofErr w:type="gramEnd"/>
      <w:r w:rsidR="0064321D">
        <w:t>.</w:t>
      </w:r>
    </w:p>
    <w:p w14:paraId="6D9ED7F0" w14:textId="7E17DE97" w:rsidR="000E447B" w:rsidRDefault="000E447B" w:rsidP="00D437C4">
      <w:pPr>
        <w:jc w:val="both"/>
      </w:pPr>
      <w:r>
        <w:t>In our view, a Basin Plan “in full” would be achieving full compliance with the SDLs in the Basin Plan.</w:t>
      </w:r>
    </w:p>
    <w:p w14:paraId="3E7D72F4" w14:textId="0F4EB4D6" w:rsidR="000E447B" w:rsidRDefault="0041075D" w:rsidP="00D437C4">
      <w:pPr>
        <w:jc w:val="both"/>
      </w:pPr>
      <w:r>
        <w:t>As per Table 1 above,</w:t>
      </w:r>
      <w:r w:rsidR="00322D5E">
        <w:t xml:space="preserve"> at the point in which additional HEW recovery </w:t>
      </w:r>
      <w:r w:rsidR="0032403F" w:rsidRPr="00004769">
        <w:rPr>
          <w:u w:val="single"/>
        </w:rPr>
        <w:t>equals</w:t>
      </w:r>
      <w:r w:rsidR="00322D5E">
        <w:t xml:space="preserve"> the supply contribution, they effectively cancel out. </w:t>
      </w:r>
      <w:r w:rsidR="009E488D">
        <w:t>This means that the SDL is neither adjusted upwards or downwards</w:t>
      </w:r>
      <w:r w:rsidR="00A045AD">
        <w:t>.</w:t>
      </w:r>
      <w:r w:rsidR="009E488D">
        <w:t xml:space="preserve"> </w:t>
      </w:r>
      <w:r w:rsidR="0032403F">
        <w:t xml:space="preserve">At the point in which additional HEW recovery </w:t>
      </w:r>
      <w:r w:rsidR="0032403F" w:rsidRPr="00004769">
        <w:rPr>
          <w:u w:val="single"/>
        </w:rPr>
        <w:t>exceeds</w:t>
      </w:r>
      <w:r w:rsidR="0032403F">
        <w:t xml:space="preserve"> the supply contribution, </w:t>
      </w:r>
      <w:r w:rsidR="00B3495A">
        <w:t xml:space="preserve">the Basin Plan implementation is arguably going beyond the Basin Plan “in full”, as it was intended, by producing a lower SDL. </w:t>
      </w:r>
    </w:p>
    <w:p w14:paraId="22FB6993" w14:textId="3440409A" w:rsidR="008603BA" w:rsidRDefault="006E2222" w:rsidP="00F14D88">
      <w:pPr>
        <w:jc w:val="both"/>
      </w:pPr>
      <w:r>
        <w:t xml:space="preserve">Based on the water recovery reported to date by DCCEEW (see Figure 5), it </w:t>
      </w:r>
      <w:r w:rsidR="001B38AB">
        <w:t xml:space="preserve">appears this threshold has already been crossed. </w:t>
      </w:r>
      <w:r w:rsidR="00A41E94">
        <w:t>Further water recovery beyond this point</w:t>
      </w:r>
      <w:r w:rsidR="00CC2FA9">
        <w:t xml:space="preserve"> must be recognised as having the effect of lowering the SDL beyond the original SDLs</w:t>
      </w:r>
      <w:r w:rsidR="00905020">
        <w:t xml:space="preserve"> (pre SDLAM). </w:t>
      </w:r>
    </w:p>
    <w:p w14:paraId="03807507" w14:textId="18EE6550" w:rsidR="006B7E16" w:rsidRDefault="006B7E16" w:rsidP="00AF59E6">
      <w:pPr>
        <w:jc w:val="center"/>
        <w:rPr>
          <w:b/>
          <w:bCs/>
          <w:i/>
          <w:iCs/>
          <w:color w:val="00538F" w:themeColor="accent1" w:themeShade="BF"/>
        </w:rPr>
      </w:pPr>
      <w:r w:rsidRPr="00E9306E">
        <w:rPr>
          <w:b/>
          <w:bCs/>
          <w:i/>
          <w:iCs/>
          <w:color w:val="00538F" w:themeColor="accent1" w:themeShade="BF"/>
        </w:rPr>
        <w:t>Finding</w:t>
      </w:r>
      <w:r w:rsidR="00B87C78">
        <w:rPr>
          <w:b/>
          <w:bCs/>
          <w:i/>
          <w:iCs/>
          <w:color w:val="00538F" w:themeColor="accent1" w:themeShade="BF"/>
        </w:rPr>
        <w:t xml:space="preserve"> 7</w:t>
      </w:r>
      <w:r w:rsidRPr="00E9306E">
        <w:rPr>
          <w:b/>
          <w:bCs/>
          <w:i/>
          <w:iCs/>
          <w:color w:val="00538F" w:themeColor="accent1" w:themeShade="BF"/>
        </w:rPr>
        <w:t xml:space="preserve">: </w:t>
      </w:r>
      <w:r w:rsidR="00B87C78">
        <w:rPr>
          <w:b/>
          <w:bCs/>
          <w:i/>
          <w:iCs/>
          <w:color w:val="00538F" w:themeColor="accent1" w:themeShade="BF"/>
        </w:rPr>
        <w:t xml:space="preserve">Delivering the Basin Plan “in full” has multiple interpretations. </w:t>
      </w:r>
      <w:r w:rsidRPr="00E9306E">
        <w:rPr>
          <w:b/>
          <w:bCs/>
          <w:i/>
          <w:iCs/>
          <w:color w:val="00538F" w:themeColor="accent1" w:themeShade="BF"/>
        </w:rPr>
        <w:t>The</w:t>
      </w:r>
      <w:r>
        <w:rPr>
          <w:b/>
          <w:bCs/>
          <w:i/>
          <w:iCs/>
          <w:color w:val="00538F" w:themeColor="accent1" w:themeShade="BF"/>
        </w:rPr>
        <w:t xml:space="preserve"> point in which additional HEW recovery exceeds the supply contribution, the SDL adjustment </w:t>
      </w:r>
      <w:r w:rsidR="002F07E3">
        <w:rPr>
          <w:b/>
          <w:bCs/>
          <w:i/>
          <w:iCs/>
          <w:color w:val="00538F" w:themeColor="accent1" w:themeShade="BF"/>
        </w:rPr>
        <w:t>become</w:t>
      </w:r>
      <w:r w:rsidR="00E567D0">
        <w:rPr>
          <w:b/>
          <w:bCs/>
          <w:i/>
          <w:iCs/>
          <w:color w:val="00538F" w:themeColor="accent1" w:themeShade="BF"/>
        </w:rPr>
        <w:t>s</w:t>
      </w:r>
      <w:r w:rsidR="002F07E3">
        <w:rPr>
          <w:b/>
          <w:bCs/>
          <w:i/>
          <w:iCs/>
          <w:color w:val="00538F" w:themeColor="accent1" w:themeShade="BF"/>
        </w:rPr>
        <w:t xml:space="preserve"> neutral. From an SDL perspective, this is “in full” implementation</w:t>
      </w:r>
      <w:r w:rsidR="00D31984">
        <w:rPr>
          <w:b/>
          <w:bCs/>
          <w:i/>
          <w:iCs/>
          <w:color w:val="00538F" w:themeColor="accent1" w:themeShade="BF"/>
        </w:rPr>
        <w:t xml:space="preserve"> (provided local and shared recovery are complete). </w:t>
      </w:r>
      <w:r w:rsidR="000C1DFE">
        <w:rPr>
          <w:b/>
          <w:bCs/>
          <w:i/>
          <w:iCs/>
          <w:color w:val="00538F" w:themeColor="accent1" w:themeShade="BF"/>
        </w:rPr>
        <w:t xml:space="preserve">It is noted </w:t>
      </w:r>
      <w:r w:rsidR="002F07E3">
        <w:rPr>
          <w:b/>
          <w:bCs/>
          <w:i/>
          <w:iCs/>
          <w:color w:val="00538F" w:themeColor="accent1" w:themeShade="BF"/>
        </w:rPr>
        <w:t xml:space="preserve">that projects (such as </w:t>
      </w:r>
      <w:r w:rsidR="000C1DFE">
        <w:rPr>
          <w:b/>
          <w:bCs/>
          <w:i/>
          <w:iCs/>
          <w:color w:val="00538F" w:themeColor="accent1" w:themeShade="BF"/>
        </w:rPr>
        <w:t xml:space="preserve">community supported </w:t>
      </w:r>
      <w:r w:rsidR="002F07E3">
        <w:rPr>
          <w:b/>
          <w:bCs/>
          <w:i/>
          <w:iCs/>
          <w:color w:val="00538F" w:themeColor="accent1" w:themeShade="BF"/>
        </w:rPr>
        <w:t xml:space="preserve">constraints management) remain </w:t>
      </w:r>
      <w:proofErr w:type="gramStart"/>
      <w:r w:rsidR="002F07E3">
        <w:rPr>
          <w:b/>
          <w:bCs/>
          <w:i/>
          <w:iCs/>
          <w:color w:val="00538F" w:themeColor="accent1" w:themeShade="BF"/>
        </w:rPr>
        <w:t>important in their own right</w:t>
      </w:r>
      <w:r w:rsidR="00142D58">
        <w:rPr>
          <w:b/>
          <w:bCs/>
          <w:i/>
          <w:iCs/>
          <w:color w:val="00538F" w:themeColor="accent1" w:themeShade="BF"/>
        </w:rPr>
        <w:t>, separate</w:t>
      </w:r>
      <w:proofErr w:type="gramEnd"/>
      <w:r w:rsidR="00142D58">
        <w:rPr>
          <w:b/>
          <w:bCs/>
          <w:i/>
          <w:iCs/>
          <w:color w:val="00538F" w:themeColor="accent1" w:themeShade="BF"/>
        </w:rPr>
        <w:t xml:space="preserve"> from achieving SDL compliance. </w:t>
      </w:r>
    </w:p>
    <w:p w14:paraId="53856964" w14:textId="4491DF58" w:rsidR="00AF59E6" w:rsidRPr="00F84BCF" w:rsidRDefault="00AF59E6" w:rsidP="00F84BCF">
      <w:pPr>
        <w:jc w:val="center"/>
        <w:rPr>
          <w:b/>
          <w:bCs/>
          <w:i/>
          <w:iCs/>
          <w:color w:val="00538F" w:themeColor="accent1" w:themeShade="BF"/>
        </w:rPr>
      </w:pPr>
      <w:r>
        <w:rPr>
          <w:b/>
          <w:bCs/>
          <w:i/>
          <w:iCs/>
          <w:color w:val="00538F" w:themeColor="accent1" w:themeShade="BF"/>
        </w:rPr>
        <w:t>Recommendation</w:t>
      </w:r>
      <w:r w:rsidRPr="00E9306E">
        <w:rPr>
          <w:b/>
          <w:bCs/>
          <w:i/>
          <w:iCs/>
          <w:color w:val="00538F" w:themeColor="accent1" w:themeShade="BF"/>
        </w:rPr>
        <w:t xml:space="preserve"> </w:t>
      </w:r>
      <w:r>
        <w:rPr>
          <w:b/>
          <w:bCs/>
          <w:i/>
          <w:iCs/>
          <w:color w:val="00538F" w:themeColor="accent1" w:themeShade="BF"/>
        </w:rPr>
        <w:t>3</w:t>
      </w:r>
      <w:r w:rsidRPr="00E9306E">
        <w:rPr>
          <w:b/>
          <w:bCs/>
          <w:i/>
          <w:iCs/>
          <w:color w:val="00538F" w:themeColor="accent1" w:themeShade="BF"/>
        </w:rPr>
        <w:t>:</w:t>
      </w:r>
      <w:r>
        <w:rPr>
          <w:b/>
          <w:bCs/>
          <w:i/>
          <w:iCs/>
          <w:color w:val="00538F" w:themeColor="accent1" w:themeShade="BF"/>
        </w:rPr>
        <w:t xml:space="preserve"> MDBA to discuss with the Minister what “in full” implementation of the Basin Plan involves</w:t>
      </w:r>
      <w:r w:rsidR="007A4D60">
        <w:rPr>
          <w:b/>
          <w:bCs/>
          <w:i/>
          <w:iCs/>
          <w:color w:val="00538F" w:themeColor="accent1" w:themeShade="BF"/>
        </w:rPr>
        <w:t xml:space="preserve">, in the context of the SDLAM Reconciliation, and outstanding projects such as constraints. In our view, focus must be on SDL compliance. </w:t>
      </w:r>
    </w:p>
    <w:p w14:paraId="6C7C35CE" w14:textId="77777777" w:rsidR="008B0EB6" w:rsidRDefault="008B0EB6" w:rsidP="008B0EB6">
      <w:pPr>
        <w:pStyle w:val="Heading1"/>
      </w:pPr>
      <w:bookmarkStart w:id="16" w:name="_Toc243660158"/>
      <w:r>
        <w:t>SDLAM for socio-economic protection</w:t>
      </w:r>
      <w:bookmarkEnd w:id="16"/>
    </w:p>
    <w:p w14:paraId="74290EF4" w14:textId="77777777" w:rsidR="008B0EB6" w:rsidRDefault="008B0EB6" w:rsidP="007452BD">
      <w:pPr>
        <w:pStyle w:val="NoSpacing"/>
        <w:jc w:val="both"/>
        <w:rPr>
          <w:rFonts w:eastAsiaTheme="minorHAnsi"/>
          <w:kern w:val="2"/>
          <w:sz w:val="24"/>
          <w:szCs w:val="24"/>
          <w:lang w:val="en-AU"/>
          <w14:ligatures w14:val="standardContextual"/>
        </w:rPr>
      </w:pPr>
      <w:r w:rsidRPr="00F01867">
        <w:rPr>
          <w:rFonts w:eastAsiaTheme="minorHAnsi"/>
          <w:kern w:val="2"/>
          <w:sz w:val="24"/>
          <w:szCs w:val="24"/>
          <w:lang w:val="en-AU"/>
          <w14:ligatures w14:val="standardContextual"/>
        </w:rPr>
        <w:t>In the Basin Plan legislation, 5.06 “</w:t>
      </w:r>
      <w:r w:rsidRPr="00B54356">
        <w:rPr>
          <w:rFonts w:eastAsiaTheme="minorHAnsi"/>
          <w:i/>
          <w:iCs/>
          <w:kern w:val="2"/>
          <w:sz w:val="24"/>
          <w:szCs w:val="24"/>
          <w:lang w:val="en-AU"/>
          <w14:ligatures w14:val="standardContextual"/>
        </w:rPr>
        <w:t>Objective and outcome for operation of the SDL adjustment mechanism</w:t>
      </w:r>
      <w:r w:rsidRPr="00F01867">
        <w:rPr>
          <w:rFonts w:eastAsiaTheme="minorHAnsi"/>
          <w:kern w:val="2"/>
          <w:sz w:val="24"/>
          <w:szCs w:val="24"/>
          <w:lang w:val="en-AU"/>
          <w14:ligatures w14:val="standardContextual"/>
        </w:rPr>
        <w:t xml:space="preserve">” </w:t>
      </w:r>
      <w:r>
        <w:rPr>
          <w:rFonts w:eastAsiaTheme="minorHAnsi"/>
          <w:kern w:val="2"/>
          <w:sz w:val="24"/>
          <w:szCs w:val="24"/>
          <w:lang w:val="en-AU"/>
          <w14:ligatures w14:val="standardContextual"/>
        </w:rPr>
        <w:t>says:</w:t>
      </w:r>
    </w:p>
    <w:p w14:paraId="662F8EDD" w14:textId="77777777" w:rsidR="008B0EB6" w:rsidRDefault="008B0EB6" w:rsidP="007452BD">
      <w:pPr>
        <w:pStyle w:val="NoSpacing"/>
        <w:jc w:val="both"/>
        <w:rPr>
          <w:rFonts w:eastAsiaTheme="minorHAnsi"/>
          <w:kern w:val="2"/>
          <w:sz w:val="24"/>
          <w:szCs w:val="24"/>
          <w:lang w:val="en-AU"/>
          <w14:ligatures w14:val="standardContextual"/>
        </w:rPr>
      </w:pPr>
    </w:p>
    <w:p w14:paraId="4988A799" w14:textId="77777777" w:rsidR="008B0EB6" w:rsidRPr="00192AAD" w:rsidRDefault="008B0EB6" w:rsidP="007452BD">
      <w:pPr>
        <w:pStyle w:val="NoSpacing"/>
        <w:jc w:val="both"/>
        <w:rPr>
          <w:rFonts w:eastAsiaTheme="minorHAnsi"/>
          <w:i/>
          <w:iCs/>
          <w:kern w:val="2"/>
          <w:sz w:val="24"/>
          <w:szCs w:val="24"/>
          <w:lang w:val="en-AU"/>
          <w14:ligatures w14:val="standardContextual"/>
        </w:rPr>
      </w:pPr>
      <w:r w:rsidRPr="00192AAD">
        <w:rPr>
          <w:rFonts w:eastAsiaTheme="minorHAnsi"/>
          <w:i/>
          <w:iCs/>
          <w:kern w:val="2"/>
          <w:sz w:val="24"/>
          <w:szCs w:val="24"/>
          <w:lang w:val="en-AU"/>
          <w14:ligatures w14:val="standardContextual"/>
        </w:rPr>
        <w:t xml:space="preserve">“The objective in relation to the operation of the SDL adjustment mechanism is to adjust SDLs in a way that increases environmental outcomes </w:t>
      </w:r>
      <w:r w:rsidRPr="00F7651A">
        <w:rPr>
          <w:rFonts w:eastAsiaTheme="minorHAnsi"/>
          <w:b/>
          <w:bCs/>
          <w:i/>
          <w:iCs/>
          <w:kern w:val="2"/>
          <w:sz w:val="24"/>
          <w:szCs w:val="24"/>
          <w:lang w:val="en-AU"/>
          <w14:ligatures w14:val="standardContextual"/>
        </w:rPr>
        <w:t>while maintaining or improving social and economic outcomes.</w:t>
      </w:r>
      <w:r w:rsidRPr="00192AAD">
        <w:rPr>
          <w:rFonts w:eastAsiaTheme="minorHAnsi"/>
          <w:i/>
          <w:iCs/>
          <w:kern w:val="2"/>
          <w:sz w:val="24"/>
          <w:szCs w:val="24"/>
          <w:lang w:val="en-AU"/>
          <w14:ligatures w14:val="standardContextual"/>
        </w:rPr>
        <w:t>”</w:t>
      </w:r>
    </w:p>
    <w:p w14:paraId="1A928754" w14:textId="77777777" w:rsidR="008B0EB6" w:rsidRPr="00192AAD" w:rsidRDefault="008B0EB6" w:rsidP="007452BD">
      <w:pPr>
        <w:pStyle w:val="NoSpacing"/>
        <w:jc w:val="both"/>
        <w:rPr>
          <w:rFonts w:eastAsiaTheme="minorHAnsi"/>
          <w:i/>
          <w:iCs/>
          <w:kern w:val="2"/>
          <w:sz w:val="24"/>
          <w:szCs w:val="24"/>
          <w:lang w:val="en-AU"/>
          <w14:ligatures w14:val="standardContextual"/>
        </w:rPr>
      </w:pPr>
    </w:p>
    <w:p w14:paraId="752AF7E6" w14:textId="77777777" w:rsidR="00E23A26" w:rsidRDefault="00E23A26" w:rsidP="007452BD">
      <w:pPr>
        <w:pStyle w:val="NoSpacing"/>
        <w:jc w:val="both"/>
        <w:rPr>
          <w:rFonts w:eastAsiaTheme="minorHAnsi"/>
          <w:kern w:val="2"/>
          <w:sz w:val="24"/>
          <w:szCs w:val="24"/>
          <w:lang w:val="en-AU"/>
          <w14:ligatures w14:val="standardContextual"/>
        </w:rPr>
      </w:pPr>
      <w:r w:rsidRPr="00F7651A">
        <w:rPr>
          <w:rFonts w:eastAsiaTheme="minorHAnsi"/>
          <w:kern w:val="2"/>
          <w:sz w:val="24"/>
          <w:szCs w:val="24"/>
          <w:lang w:val="en-AU"/>
          <w14:ligatures w14:val="standardContextual"/>
        </w:rPr>
        <w:t xml:space="preserve">If SDLAM </w:t>
      </w:r>
      <w:r>
        <w:rPr>
          <w:rFonts w:eastAsiaTheme="minorHAnsi"/>
          <w:kern w:val="2"/>
          <w:sz w:val="24"/>
          <w:szCs w:val="24"/>
          <w:lang w:val="en-AU"/>
          <w14:ligatures w14:val="standardContextual"/>
        </w:rPr>
        <w:t xml:space="preserve">is to produce an SDL adjustment that is negative (as likely based on the above analysis), reducing the SDL, it is difficult to see how this could possibly be maintaining or improving social and economic outcomes. </w:t>
      </w:r>
    </w:p>
    <w:p w14:paraId="5F8BD0A1" w14:textId="77777777" w:rsidR="00E23A26" w:rsidRDefault="00E23A26" w:rsidP="007452BD">
      <w:pPr>
        <w:pStyle w:val="NoSpacing"/>
        <w:jc w:val="both"/>
        <w:rPr>
          <w:rFonts w:eastAsiaTheme="minorHAnsi"/>
          <w:kern w:val="2"/>
          <w:sz w:val="24"/>
          <w:szCs w:val="24"/>
          <w:lang w:val="en-AU"/>
          <w14:ligatures w14:val="standardContextual"/>
        </w:rPr>
      </w:pPr>
    </w:p>
    <w:p w14:paraId="5F36DFF5" w14:textId="52B40760" w:rsidR="00604377" w:rsidRDefault="0015523F" w:rsidP="007452BD">
      <w:pPr>
        <w:pStyle w:val="NoSpacing"/>
        <w:jc w:val="both"/>
        <w:rPr>
          <w:kern w:val="2"/>
          <w:sz w:val="24"/>
          <w:szCs w:val="24"/>
          <w14:ligatures w14:val="standardContextual"/>
        </w:rPr>
      </w:pPr>
      <w:r w:rsidRPr="4CA7E53A">
        <w:rPr>
          <w:kern w:val="2"/>
          <w:sz w:val="24"/>
          <w:szCs w:val="24"/>
          <w14:ligatures w14:val="standardContextual"/>
        </w:rPr>
        <w:t>Similarly</w:t>
      </w:r>
      <w:r w:rsidR="00604377" w:rsidRPr="4CA7E53A">
        <w:rPr>
          <w:kern w:val="2"/>
          <w:sz w:val="24"/>
          <w:szCs w:val="24"/>
          <w14:ligatures w14:val="standardContextual"/>
        </w:rPr>
        <w:t xml:space="preserve">, </w:t>
      </w:r>
      <w:r w:rsidRPr="4CA7E53A">
        <w:rPr>
          <w:kern w:val="2"/>
          <w:sz w:val="24"/>
          <w:szCs w:val="24"/>
          <w14:ligatures w14:val="standardContextual"/>
        </w:rPr>
        <w:t>7.09 says: “The objective for this Part is to allow surface water SDLs to be adjusted to reflect the effects of</w:t>
      </w:r>
      <w:r w:rsidR="001B24DB" w:rsidRPr="4CA7E53A">
        <w:rPr>
          <w:kern w:val="2"/>
          <w:sz w:val="24"/>
          <w:szCs w:val="24"/>
          <w14:ligatures w14:val="standardContextual"/>
        </w:rPr>
        <w:t xml:space="preserve">… </w:t>
      </w:r>
      <w:r w:rsidRPr="4CA7E53A">
        <w:rPr>
          <w:kern w:val="2"/>
          <w:sz w:val="24"/>
          <w:szCs w:val="24"/>
          <w14:ligatures w14:val="standardContextual"/>
        </w:rPr>
        <w:t>:</w:t>
      </w:r>
    </w:p>
    <w:p w14:paraId="0251481C" w14:textId="5DA94181" w:rsidR="0015523F" w:rsidRDefault="00E23A26" w:rsidP="00E23A26">
      <w:pPr>
        <w:pStyle w:val="NoSpacing"/>
        <w:numPr>
          <w:ilvl w:val="0"/>
          <w:numId w:val="16"/>
        </w:numPr>
        <w:rPr>
          <w:rFonts w:eastAsiaTheme="minorHAnsi"/>
          <w:kern w:val="2"/>
          <w:sz w:val="24"/>
          <w:szCs w:val="24"/>
          <w:lang w:val="en-AU"/>
          <w14:ligatures w14:val="standardContextual"/>
        </w:rPr>
      </w:pPr>
      <w:r w:rsidRPr="00E23A26">
        <w:rPr>
          <w:rFonts w:eastAsiaTheme="minorHAnsi"/>
          <w:kern w:val="2"/>
          <w:sz w:val="24"/>
          <w:szCs w:val="24"/>
          <w:lang w:val="en-AU"/>
          <w14:ligatures w14:val="standardContextual"/>
        </w:rPr>
        <w:t>enhanced economic, social and environmental outcomes compared with the benchmark environmental outcomes and benchmark conditions of development can be achieved for the Murray</w:t>
      </w:r>
      <w:r w:rsidRPr="00E23A26">
        <w:rPr>
          <w:rFonts w:eastAsiaTheme="minorHAnsi"/>
          <w:kern w:val="2"/>
          <w:sz w:val="24"/>
          <w:szCs w:val="24"/>
          <w:lang w:val="en-AU"/>
          <w14:ligatures w14:val="standardContextual"/>
        </w:rPr>
        <w:noBreakHyphen/>
        <w:t>Darling Basin,</w:t>
      </w:r>
      <w:r>
        <w:rPr>
          <w:rFonts w:eastAsiaTheme="minorHAnsi"/>
          <w:kern w:val="2"/>
          <w:sz w:val="24"/>
          <w:szCs w:val="24"/>
          <w:lang w:val="en-AU"/>
          <w14:ligatures w14:val="standardContextual"/>
        </w:rPr>
        <w:t>…”</w:t>
      </w:r>
    </w:p>
    <w:p w14:paraId="02205F47" w14:textId="77777777" w:rsidR="00604377" w:rsidRDefault="00604377" w:rsidP="008B0EB6">
      <w:pPr>
        <w:pStyle w:val="NoSpacing"/>
        <w:rPr>
          <w:rFonts w:eastAsiaTheme="minorHAnsi"/>
          <w:kern w:val="2"/>
          <w:sz w:val="24"/>
          <w:szCs w:val="24"/>
          <w:lang w:val="en-AU"/>
          <w14:ligatures w14:val="standardContextual"/>
        </w:rPr>
      </w:pPr>
    </w:p>
    <w:p w14:paraId="1CD55D1A" w14:textId="3DF4C00F" w:rsidR="00B81BE6" w:rsidRDefault="00B81BE6" w:rsidP="008B0EB6">
      <w:pPr>
        <w:pStyle w:val="NoSpacing"/>
        <w:rPr>
          <w:rFonts w:eastAsiaTheme="minorHAnsi"/>
          <w:kern w:val="2"/>
          <w:sz w:val="24"/>
          <w:szCs w:val="24"/>
          <w:lang w:val="en-AU"/>
          <w14:ligatures w14:val="standardContextual"/>
        </w:rPr>
      </w:pPr>
      <w:r>
        <w:rPr>
          <w:rFonts w:eastAsiaTheme="minorHAnsi"/>
          <w:kern w:val="2"/>
          <w:sz w:val="24"/>
          <w:szCs w:val="24"/>
          <w:lang w:val="en-AU"/>
          <w14:ligatures w14:val="standardContextual"/>
        </w:rPr>
        <w:t xml:space="preserve">Again, if recovery of additional HEW exceeds the supply shortfall, the net effect of SDLAM is not one consistent with enhanced social and economic outcomes. </w:t>
      </w:r>
    </w:p>
    <w:p w14:paraId="219B0F7F" w14:textId="77777777" w:rsidR="008C4B35" w:rsidRDefault="008C4B35" w:rsidP="008B0EB6">
      <w:pPr>
        <w:pStyle w:val="NoSpacing"/>
        <w:rPr>
          <w:rFonts w:eastAsiaTheme="minorHAnsi"/>
          <w:kern w:val="2"/>
          <w:sz w:val="24"/>
          <w:szCs w:val="24"/>
          <w:lang w:val="en-AU"/>
          <w14:ligatures w14:val="standardContextual"/>
        </w:rPr>
      </w:pPr>
    </w:p>
    <w:p w14:paraId="7A9B872A" w14:textId="4D849934" w:rsidR="008B0EB6" w:rsidRDefault="002E5C61" w:rsidP="008B0EB6">
      <w:pPr>
        <w:pStyle w:val="NoSpacing"/>
        <w:rPr>
          <w:b/>
          <w:bCs/>
          <w:i/>
          <w:iCs/>
          <w:color w:val="00538F" w:themeColor="accent1" w:themeShade="BF"/>
          <w:sz w:val="24"/>
          <w:szCs w:val="24"/>
        </w:rPr>
      </w:pPr>
      <w:r w:rsidRPr="002E5C61">
        <w:rPr>
          <w:b/>
          <w:bCs/>
          <w:i/>
          <w:iCs/>
          <w:color w:val="00538F" w:themeColor="accent1" w:themeShade="BF"/>
          <w:sz w:val="24"/>
          <w:szCs w:val="24"/>
        </w:rPr>
        <w:t xml:space="preserve">Finding </w:t>
      </w:r>
      <w:r w:rsidR="007452BD">
        <w:rPr>
          <w:b/>
          <w:bCs/>
          <w:i/>
          <w:iCs/>
          <w:color w:val="00538F" w:themeColor="accent1" w:themeShade="BF"/>
          <w:sz w:val="24"/>
          <w:szCs w:val="24"/>
        </w:rPr>
        <w:t>8</w:t>
      </w:r>
      <w:r w:rsidRPr="002E5C61">
        <w:rPr>
          <w:b/>
          <w:bCs/>
          <w:i/>
          <w:iCs/>
          <w:color w:val="00538F" w:themeColor="accent1" w:themeShade="BF"/>
          <w:sz w:val="24"/>
          <w:szCs w:val="24"/>
        </w:rPr>
        <w:t xml:space="preserve">: </w:t>
      </w:r>
      <w:r w:rsidR="00054683">
        <w:rPr>
          <w:b/>
          <w:bCs/>
          <w:i/>
          <w:iCs/>
          <w:color w:val="00538F" w:themeColor="accent1" w:themeShade="BF"/>
          <w:sz w:val="24"/>
          <w:szCs w:val="24"/>
        </w:rPr>
        <w:t>The</w:t>
      </w:r>
      <w:r w:rsidR="40CE21F6" w:rsidRPr="1BDA8FE7">
        <w:rPr>
          <w:b/>
          <w:bCs/>
          <w:i/>
          <w:iCs/>
          <w:color w:val="00538F" w:themeColor="accent1" w:themeShade="BF"/>
          <w:sz w:val="24"/>
          <w:szCs w:val="24"/>
        </w:rPr>
        <w:t xml:space="preserve"> </w:t>
      </w:r>
      <w:proofErr w:type="gramStart"/>
      <w:r w:rsidR="40CE21F6" w:rsidRPr="08434342">
        <w:rPr>
          <w:b/>
          <w:bCs/>
          <w:i/>
          <w:iCs/>
          <w:color w:val="00538F" w:themeColor="accent1" w:themeShade="BF"/>
          <w:sz w:val="24"/>
          <w:szCs w:val="24"/>
        </w:rPr>
        <w:t>likely</w:t>
      </w:r>
      <w:r w:rsidR="00054683">
        <w:rPr>
          <w:b/>
          <w:bCs/>
          <w:i/>
          <w:iCs/>
          <w:color w:val="00538F" w:themeColor="accent1" w:themeShade="BF"/>
          <w:sz w:val="24"/>
          <w:szCs w:val="24"/>
        </w:rPr>
        <w:t xml:space="preserve"> final</w:t>
      </w:r>
      <w:proofErr w:type="gramEnd"/>
      <w:r w:rsidR="00054683">
        <w:rPr>
          <w:b/>
          <w:bCs/>
          <w:i/>
          <w:iCs/>
          <w:color w:val="00538F" w:themeColor="accent1" w:themeShade="BF"/>
          <w:sz w:val="24"/>
          <w:szCs w:val="24"/>
        </w:rPr>
        <w:t xml:space="preserve"> SDL adjustment </w:t>
      </w:r>
      <w:r w:rsidR="6E030891" w:rsidRPr="08434342">
        <w:rPr>
          <w:b/>
          <w:bCs/>
          <w:i/>
          <w:iCs/>
          <w:color w:val="00538F" w:themeColor="accent1" w:themeShade="BF"/>
          <w:sz w:val="24"/>
          <w:szCs w:val="24"/>
        </w:rPr>
        <w:t>(</w:t>
      </w:r>
      <w:r w:rsidR="6E030891" w:rsidRPr="5F681644">
        <w:rPr>
          <w:b/>
          <w:bCs/>
          <w:i/>
          <w:iCs/>
          <w:color w:val="00538F" w:themeColor="accent1" w:themeShade="BF"/>
          <w:sz w:val="24"/>
          <w:szCs w:val="24"/>
        </w:rPr>
        <w:t xml:space="preserve">see Finding 2) </w:t>
      </w:r>
      <w:r w:rsidR="00054683">
        <w:rPr>
          <w:b/>
          <w:bCs/>
          <w:i/>
          <w:iCs/>
          <w:color w:val="00538F" w:themeColor="accent1" w:themeShade="BF"/>
          <w:sz w:val="24"/>
          <w:szCs w:val="24"/>
        </w:rPr>
        <w:t>is</w:t>
      </w:r>
      <w:r w:rsidR="006237D4">
        <w:rPr>
          <w:b/>
          <w:bCs/>
          <w:i/>
          <w:iCs/>
          <w:color w:val="00538F" w:themeColor="accent1" w:themeShade="BF"/>
          <w:sz w:val="24"/>
          <w:szCs w:val="24"/>
        </w:rPr>
        <w:t xml:space="preserve"> </w:t>
      </w:r>
      <w:r w:rsidR="00054683">
        <w:rPr>
          <w:b/>
          <w:bCs/>
          <w:i/>
          <w:iCs/>
          <w:color w:val="00538F" w:themeColor="accent1" w:themeShade="BF"/>
          <w:sz w:val="24"/>
          <w:szCs w:val="24"/>
        </w:rPr>
        <w:t>inconsistent with the objective specified in the legislation for SDLAM to maintain and improve social and economic outcomes</w:t>
      </w:r>
      <w:r w:rsidR="006237D4">
        <w:rPr>
          <w:b/>
          <w:bCs/>
          <w:i/>
          <w:iCs/>
          <w:color w:val="00538F" w:themeColor="accent1" w:themeShade="BF"/>
          <w:sz w:val="24"/>
          <w:szCs w:val="24"/>
        </w:rPr>
        <w:t xml:space="preserve"> (if a negative SDL adjustment). </w:t>
      </w:r>
    </w:p>
    <w:p w14:paraId="65A949AB" w14:textId="77777777" w:rsidR="00D21D6D" w:rsidRDefault="00D21D6D" w:rsidP="008B0EB6">
      <w:pPr>
        <w:pStyle w:val="NoSpacing"/>
        <w:rPr>
          <w:b/>
          <w:bCs/>
          <w:i/>
          <w:iCs/>
          <w:color w:val="00538F" w:themeColor="accent1" w:themeShade="BF"/>
          <w:sz w:val="24"/>
          <w:szCs w:val="24"/>
        </w:rPr>
      </w:pPr>
    </w:p>
    <w:p w14:paraId="760A25D5" w14:textId="1DD5A253" w:rsidR="00D21D6D" w:rsidRDefault="00D21D6D" w:rsidP="007452BD">
      <w:pPr>
        <w:pStyle w:val="NoSpacing"/>
        <w:jc w:val="both"/>
        <w:rPr>
          <w:rFonts w:eastAsiaTheme="minorHAnsi"/>
          <w:kern w:val="2"/>
          <w:sz w:val="24"/>
          <w:szCs w:val="24"/>
          <w:lang w:val="en-AU"/>
          <w14:ligatures w14:val="standardContextual"/>
        </w:rPr>
      </w:pPr>
      <w:r>
        <w:rPr>
          <w:rFonts w:eastAsiaTheme="minorHAnsi"/>
          <w:kern w:val="2"/>
          <w:sz w:val="24"/>
          <w:szCs w:val="24"/>
          <w:lang w:val="en-AU"/>
          <w14:ligatures w14:val="standardContextual"/>
        </w:rPr>
        <w:t xml:space="preserve">The intention of SDLAM to operate to achieve SDLs in a way that protects social and economic outcomes, </w:t>
      </w:r>
      <w:proofErr w:type="gramStart"/>
      <w:r>
        <w:rPr>
          <w:rFonts w:eastAsiaTheme="minorHAnsi"/>
          <w:kern w:val="2"/>
          <w:sz w:val="24"/>
          <w:szCs w:val="24"/>
          <w:lang w:val="en-AU"/>
          <w14:ligatures w14:val="standardContextual"/>
        </w:rPr>
        <w:t>dates back to</w:t>
      </w:r>
      <w:proofErr w:type="gramEnd"/>
      <w:r>
        <w:rPr>
          <w:rFonts w:eastAsiaTheme="minorHAnsi"/>
          <w:kern w:val="2"/>
          <w:sz w:val="24"/>
          <w:szCs w:val="24"/>
          <w:lang w:val="en-AU"/>
          <w14:ligatures w14:val="standardContextual"/>
        </w:rPr>
        <w:t xml:space="preserve"> its very origins.</w:t>
      </w:r>
    </w:p>
    <w:p w14:paraId="35A30F10" w14:textId="77777777" w:rsidR="00D21D6D" w:rsidRDefault="00D21D6D" w:rsidP="007452BD">
      <w:pPr>
        <w:pStyle w:val="NoSpacing"/>
        <w:jc w:val="both"/>
        <w:rPr>
          <w:rFonts w:eastAsiaTheme="minorHAnsi"/>
          <w:kern w:val="2"/>
          <w:sz w:val="24"/>
          <w:szCs w:val="24"/>
          <w:lang w:val="en-AU"/>
          <w14:ligatures w14:val="standardContextual"/>
        </w:rPr>
      </w:pPr>
    </w:p>
    <w:p w14:paraId="6E42ECBA" w14:textId="77777777" w:rsidR="00290739" w:rsidRDefault="00D21D6D" w:rsidP="007452BD">
      <w:pPr>
        <w:pStyle w:val="NoSpacing"/>
        <w:jc w:val="both"/>
        <w:rPr>
          <w:rFonts w:eastAsiaTheme="minorHAnsi"/>
          <w:kern w:val="2"/>
          <w:sz w:val="24"/>
          <w:szCs w:val="24"/>
          <w:lang w:val="en-AU"/>
          <w14:ligatures w14:val="standardContextual"/>
        </w:rPr>
      </w:pPr>
      <w:r>
        <w:rPr>
          <w:rFonts w:eastAsiaTheme="minorHAnsi"/>
          <w:kern w:val="2"/>
          <w:sz w:val="24"/>
          <w:szCs w:val="24"/>
          <w:lang w:val="en-AU"/>
          <w14:ligatures w14:val="standardContextual"/>
        </w:rPr>
        <w:t xml:space="preserve">In the Second Reading Speech to the </w:t>
      </w:r>
      <w:r w:rsidR="00663CD9" w:rsidRPr="00937C88">
        <w:rPr>
          <w:rFonts w:eastAsiaTheme="minorHAnsi"/>
          <w:i/>
          <w:iCs/>
          <w:kern w:val="2"/>
          <w:sz w:val="24"/>
          <w:szCs w:val="24"/>
          <w:lang w:val="en-AU"/>
          <w14:ligatures w14:val="standardContextual"/>
        </w:rPr>
        <w:t>Water Amendment (Long-term Average Sustainable Diversion Limit Adjustment) Bill 2012</w:t>
      </w:r>
      <w:r w:rsidR="00663CD9">
        <w:rPr>
          <w:rFonts w:eastAsiaTheme="minorHAnsi"/>
          <w:kern w:val="2"/>
          <w:sz w:val="24"/>
          <w:szCs w:val="24"/>
          <w:lang w:val="en-AU"/>
          <w14:ligatures w14:val="standardContextual"/>
        </w:rPr>
        <w:t>, Minister Burke said:</w:t>
      </w:r>
      <w:r w:rsidR="00937C88">
        <w:rPr>
          <w:rFonts w:eastAsiaTheme="minorHAnsi"/>
          <w:kern w:val="2"/>
          <w:sz w:val="24"/>
          <w:szCs w:val="24"/>
          <w:lang w:val="en-AU"/>
          <w14:ligatures w14:val="standardContextual"/>
        </w:rPr>
        <w:t xml:space="preserve"> </w:t>
      </w:r>
    </w:p>
    <w:p w14:paraId="14E29AEC" w14:textId="77777777" w:rsidR="00290739" w:rsidRDefault="00290739" w:rsidP="007452BD">
      <w:pPr>
        <w:pStyle w:val="NoSpacing"/>
        <w:jc w:val="both"/>
        <w:rPr>
          <w:rFonts w:eastAsiaTheme="minorHAnsi"/>
          <w:kern w:val="2"/>
          <w:sz w:val="24"/>
          <w:szCs w:val="24"/>
          <w:lang w:val="en-AU"/>
          <w14:ligatures w14:val="standardContextual"/>
        </w:rPr>
      </w:pPr>
    </w:p>
    <w:p w14:paraId="39B5F1DD" w14:textId="77777777" w:rsidR="00290739" w:rsidRDefault="00937C88" w:rsidP="007452BD">
      <w:pPr>
        <w:pStyle w:val="NoSpacing"/>
        <w:jc w:val="both"/>
        <w:rPr>
          <w:rFonts w:eastAsiaTheme="minorHAnsi"/>
          <w:i/>
          <w:iCs/>
          <w:kern w:val="2"/>
          <w:sz w:val="24"/>
          <w:szCs w:val="24"/>
          <w:lang w:val="en-AU"/>
          <w14:ligatures w14:val="standardContextual"/>
        </w:rPr>
      </w:pPr>
      <w:r>
        <w:rPr>
          <w:rFonts w:eastAsiaTheme="minorHAnsi"/>
          <w:kern w:val="2"/>
          <w:sz w:val="24"/>
          <w:szCs w:val="24"/>
          <w:lang w:val="en-AU"/>
          <w14:ligatures w14:val="standardContextual"/>
        </w:rPr>
        <w:t>“</w:t>
      </w:r>
      <w:r w:rsidRPr="00937C88">
        <w:rPr>
          <w:rFonts w:eastAsiaTheme="minorHAnsi"/>
          <w:i/>
          <w:iCs/>
          <w:kern w:val="2"/>
          <w:sz w:val="24"/>
          <w:szCs w:val="24"/>
          <w:lang w:val="en-AU"/>
          <w14:ligatures w14:val="standardContextual"/>
        </w:rPr>
        <w:t>It is envisaged that criteria to be specified in the Basin Plan will reflect the intention of all basin governments that the mechanism must operate on a no-detriment basis. The adjustments would then not be able to weaken the social, economic or environmental outcomes inherent in the Basin Plan.</w:t>
      </w:r>
    </w:p>
    <w:p w14:paraId="3C0BF473" w14:textId="77777777" w:rsidR="00290739" w:rsidRDefault="00290739" w:rsidP="007452BD">
      <w:pPr>
        <w:pStyle w:val="NoSpacing"/>
        <w:jc w:val="both"/>
        <w:rPr>
          <w:rFonts w:eastAsiaTheme="minorHAnsi"/>
          <w:i/>
          <w:iCs/>
          <w:kern w:val="2"/>
          <w:sz w:val="24"/>
          <w:szCs w:val="24"/>
          <w:lang w:val="en-AU"/>
          <w14:ligatures w14:val="standardContextual"/>
        </w:rPr>
      </w:pPr>
    </w:p>
    <w:p w14:paraId="5F71CCE3" w14:textId="4E5121C9" w:rsidR="00D21D6D" w:rsidRDefault="00290739" w:rsidP="007452BD">
      <w:pPr>
        <w:pStyle w:val="NoSpacing"/>
        <w:jc w:val="both"/>
        <w:rPr>
          <w:rFonts w:eastAsiaTheme="minorHAnsi"/>
          <w:kern w:val="2"/>
          <w:sz w:val="24"/>
          <w:szCs w:val="24"/>
          <w:lang w:val="en-AU"/>
          <w14:ligatures w14:val="standardContextual"/>
        </w:rPr>
      </w:pPr>
      <w:r w:rsidRPr="5041091D">
        <w:rPr>
          <w:i/>
          <w:kern w:val="2"/>
          <w:sz w:val="24"/>
          <w:szCs w:val="24"/>
          <w:lang w:val="en-AU"/>
          <w14:ligatures w14:val="standardContextual"/>
        </w:rPr>
        <w:t>Projects that enable environmental water to be used more efficiently, thereby reducing the need to remove additional water from productive use, must achieve equivalent environmental outcomes to those in the Basin Plan. Projects to enable improved environmental outcomes, must maintain or improve the socioeconomic circumstances of basin communities compared with the Basin Plan.</w:t>
      </w:r>
      <w:r w:rsidR="00937C88" w:rsidRPr="5041091D">
        <w:rPr>
          <w:i/>
          <w:kern w:val="2"/>
          <w:sz w:val="24"/>
          <w:szCs w:val="24"/>
          <w:lang w:val="en-AU"/>
          <w14:ligatures w14:val="standardContextual"/>
        </w:rPr>
        <w:t>”</w:t>
      </w:r>
      <w:r w:rsidR="00937C88" w:rsidRPr="5041091D">
        <w:rPr>
          <w:rStyle w:val="FootnoteReference"/>
          <w:i/>
          <w:kern w:val="2"/>
          <w:sz w:val="24"/>
          <w:szCs w:val="24"/>
          <w:lang w:val="en-AU"/>
          <w14:ligatures w14:val="standardContextual"/>
        </w:rPr>
        <w:footnoteReference w:id="5"/>
      </w:r>
    </w:p>
    <w:p w14:paraId="1CB4C837" w14:textId="77777777" w:rsidR="00937C88" w:rsidRDefault="00937C88" w:rsidP="007452BD">
      <w:pPr>
        <w:pStyle w:val="NoSpacing"/>
        <w:jc w:val="both"/>
        <w:rPr>
          <w:rFonts w:eastAsiaTheme="minorHAnsi"/>
          <w:kern w:val="2"/>
          <w:sz w:val="24"/>
          <w:szCs w:val="24"/>
          <w:lang w:val="en-AU"/>
          <w14:ligatures w14:val="standardContextual"/>
        </w:rPr>
      </w:pPr>
    </w:p>
    <w:p w14:paraId="48C350B2" w14:textId="089C6237" w:rsidR="00663CD9" w:rsidRDefault="00701AF8" w:rsidP="007452BD">
      <w:pPr>
        <w:pStyle w:val="NoSpacing"/>
        <w:jc w:val="both"/>
        <w:rPr>
          <w:rFonts w:eastAsiaTheme="minorHAnsi"/>
          <w:kern w:val="2"/>
          <w:sz w:val="24"/>
          <w:szCs w:val="24"/>
          <w:lang w:val="en-AU"/>
          <w14:ligatures w14:val="standardContextual"/>
        </w:rPr>
      </w:pPr>
      <w:r w:rsidRPr="5041091D">
        <w:rPr>
          <w:kern w:val="2"/>
          <w:sz w:val="24"/>
          <w:szCs w:val="24"/>
          <w:lang w:val="en-AU"/>
          <w14:ligatures w14:val="standardContextual"/>
        </w:rPr>
        <w:t>This is similarly reflected in the explanatory memorandum.</w:t>
      </w:r>
      <w:r w:rsidR="00936B95" w:rsidRPr="5041091D">
        <w:rPr>
          <w:rStyle w:val="FootnoteReference"/>
          <w:kern w:val="2"/>
          <w:sz w:val="24"/>
          <w:szCs w:val="24"/>
          <w:lang w:val="en-AU"/>
          <w14:ligatures w14:val="standardContextual"/>
        </w:rPr>
        <w:footnoteReference w:id="6"/>
      </w:r>
    </w:p>
    <w:p w14:paraId="37CE9B62" w14:textId="77777777" w:rsidR="00701AF8" w:rsidRDefault="00701AF8" w:rsidP="007452BD">
      <w:pPr>
        <w:pStyle w:val="NoSpacing"/>
        <w:jc w:val="both"/>
        <w:rPr>
          <w:rFonts w:eastAsiaTheme="minorHAnsi"/>
          <w:kern w:val="2"/>
          <w:sz w:val="24"/>
          <w:szCs w:val="24"/>
          <w:lang w:val="en-AU"/>
          <w14:ligatures w14:val="standardContextual"/>
        </w:rPr>
      </w:pPr>
    </w:p>
    <w:p w14:paraId="5C984434" w14:textId="4EDFE09C" w:rsidR="00663CD9" w:rsidRDefault="006F3929" w:rsidP="007452BD">
      <w:pPr>
        <w:pStyle w:val="NoSpacing"/>
        <w:jc w:val="both"/>
        <w:rPr>
          <w:kern w:val="2"/>
          <w:sz w:val="24"/>
          <w:szCs w:val="24"/>
          <w:lang w:val="en-AU"/>
          <w14:ligatures w14:val="standardContextual"/>
        </w:rPr>
      </w:pPr>
      <w:r w:rsidRPr="1305938E">
        <w:rPr>
          <w:kern w:val="2"/>
          <w:sz w:val="24"/>
          <w:szCs w:val="24"/>
          <w:lang w:val="en-AU"/>
          <w14:ligatures w14:val="standardContextual"/>
        </w:rPr>
        <w:t xml:space="preserve">It is acknowledged that </w:t>
      </w:r>
      <w:r w:rsidR="00190BE4" w:rsidRPr="1305938E">
        <w:rPr>
          <w:kern w:val="2"/>
          <w:sz w:val="24"/>
          <w:szCs w:val="24"/>
          <w:lang w:val="en-AU"/>
          <w14:ligatures w14:val="standardContextual"/>
        </w:rPr>
        <w:t xml:space="preserve">some specific </w:t>
      </w:r>
      <w:r w:rsidRPr="1305938E">
        <w:rPr>
          <w:kern w:val="2"/>
          <w:sz w:val="24"/>
          <w:szCs w:val="24"/>
          <w:lang w:val="en-AU"/>
          <w14:ligatures w14:val="standardContextual"/>
        </w:rPr>
        <w:t xml:space="preserve">social and economic protections were weakened as part of the </w:t>
      </w:r>
      <w:r w:rsidRPr="1305938E">
        <w:rPr>
          <w:i/>
          <w:kern w:val="2"/>
          <w:sz w:val="24"/>
          <w:szCs w:val="24"/>
          <w:lang w:val="en-AU"/>
          <w14:ligatures w14:val="standardContextual"/>
        </w:rPr>
        <w:t>Restoring our Rivers Act 2023</w:t>
      </w:r>
      <w:r w:rsidRPr="1305938E">
        <w:rPr>
          <w:kern w:val="2"/>
          <w:sz w:val="24"/>
          <w:szCs w:val="24"/>
          <w:lang w:val="en-AU"/>
          <w14:ligatures w14:val="standardContextual"/>
        </w:rPr>
        <w:t xml:space="preserve">. </w:t>
      </w:r>
      <w:r w:rsidR="00190BE4" w:rsidRPr="1305938E">
        <w:rPr>
          <w:kern w:val="2"/>
          <w:sz w:val="24"/>
          <w:szCs w:val="24"/>
          <w:lang w:val="en-AU"/>
          <w14:ligatures w14:val="standardContextual"/>
        </w:rPr>
        <w:t xml:space="preserve">However, the intent of SDLAM remains captured in the objectives specified in the legislation.  </w:t>
      </w:r>
    </w:p>
    <w:p w14:paraId="75E93C54" w14:textId="77777777" w:rsidR="007618D7" w:rsidRDefault="007618D7" w:rsidP="007452BD">
      <w:pPr>
        <w:pStyle w:val="NoSpacing"/>
        <w:jc w:val="both"/>
        <w:rPr>
          <w:kern w:val="2"/>
          <w:sz w:val="24"/>
          <w:szCs w:val="24"/>
          <w:lang w:val="en-AU"/>
          <w14:ligatures w14:val="standardContextual"/>
        </w:rPr>
      </w:pPr>
    </w:p>
    <w:p w14:paraId="5320054B" w14:textId="13D778E4" w:rsidR="006F3929" w:rsidRPr="005D45B6" w:rsidRDefault="007618D7" w:rsidP="005D45B6">
      <w:pPr>
        <w:pStyle w:val="NoSpacing"/>
        <w:jc w:val="both"/>
      </w:pPr>
      <w:r>
        <w:rPr>
          <w:kern w:val="2"/>
          <w:sz w:val="24"/>
          <w:szCs w:val="24"/>
          <w:lang w:val="en-AU"/>
          <w14:ligatures w14:val="standardContextual"/>
        </w:rPr>
        <w:t xml:space="preserve">Communities also hold concerns that the actual social and economic impacts from the Basin Plan and associated water reform are greater than currently </w:t>
      </w:r>
      <w:r w:rsidR="00B535EC">
        <w:rPr>
          <w:kern w:val="2"/>
          <w:sz w:val="24"/>
          <w:szCs w:val="24"/>
          <w:lang w:val="en-AU"/>
          <w14:ligatures w14:val="standardContextual"/>
        </w:rPr>
        <w:t>modelled and</w:t>
      </w:r>
      <w:r>
        <w:rPr>
          <w:kern w:val="2"/>
          <w:sz w:val="24"/>
          <w:szCs w:val="24"/>
          <w:lang w:val="en-AU"/>
          <w14:ligatures w14:val="standardContextual"/>
        </w:rPr>
        <w:t xml:space="preserve"> understood. These concerns are raised in detail in the NIC Basin Plan Review, in our social and economic chapter.</w:t>
      </w:r>
      <w:r w:rsidR="00670F30">
        <w:rPr>
          <w:rStyle w:val="FootnoteReference"/>
          <w:kern w:val="2"/>
          <w:sz w:val="24"/>
          <w:szCs w:val="24"/>
          <w:lang w:val="en-AU"/>
          <w14:ligatures w14:val="standardContextual"/>
        </w:rPr>
        <w:footnoteReference w:id="7"/>
      </w:r>
      <w:r>
        <w:rPr>
          <w:kern w:val="2"/>
          <w:sz w:val="24"/>
          <w:szCs w:val="24"/>
          <w:lang w:val="en-AU"/>
          <w14:ligatures w14:val="standardContextual"/>
        </w:rPr>
        <w:t xml:space="preserve"> </w:t>
      </w:r>
      <w:r w:rsidR="0046401E">
        <w:rPr>
          <w:kern w:val="2"/>
          <w:sz w:val="24"/>
          <w:szCs w:val="24"/>
          <w:lang w:val="en-AU"/>
          <w14:ligatures w14:val="standardContextual"/>
        </w:rPr>
        <w:t>Major concerns relate to data limitations, requirements for social and economic reporting to occur at a Basin-scale (smoothing over localised impacts</w:t>
      </w:r>
      <w:r w:rsidR="000C5017">
        <w:rPr>
          <w:kern w:val="2"/>
          <w:sz w:val="24"/>
          <w:szCs w:val="24"/>
          <w:lang w:val="en-AU"/>
          <w14:ligatures w14:val="standardContextual"/>
        </w:rPr>
        <w:t>, or impacts to specific industries), and assessment</w:t>
      </w:r>
      <w:r w:rsidR="005D45B6">
        <w:rPr>
          <w:kern w:val="2"/>
          <w:sz w:val="24"/>
          <w:szCs w:val="24"/>
          <w:lang w:val="en-AU"/>
          <w14:ligatures w14:val="standardContextual"/>
        </w:rPr>
        <w:t>s</w:t>
      </w:r>
      <w:r w:rsidR="000C5017">
        <w:rPr>
          <w:kern w:val="2"/>
          <w:sz w:val="24"/>
          <w:szCs w:val="24"/>
          <w:lang w:val="en-AU"/>
          <w14:ligatures w14:val="standardContextual"/>
        </w:rPr>
        <w:t xml:space="preserve"> occurring in a piecemeal manner </w:t>
      </w:r>
      <w:r w:rsidR="00FA52DD">
        <w:rPr>
          <w:kern w:val="2"/>
          <w:sz w:val="24"/>
          <w:szCs w:val="24"/>
          <w:lang w:val="en-AU"/>
          <w14:ligatures w14:val="standardContextual"/>
        </w:rPr>
        <w:t xml:space="preserve">(looking at each tender individually, rather than the cumulative impacts) – to name a few. </w:t>
      </w:r>
    </w:p>
    <w:p w14:paraId="0506FA5F" w14:textId="41DDD640" w:rsidR="00D36C82" w:rsidRDefault="00D36C82" w:rsidP="00C11F4A">
      <w:pPr>
        <w:pStyle w:val="Heading1"/>
      </w:pPr>
      <w:bookmarkStart w:id="17" w:name="_Toc243660159"/>
      <w:r>
        <w:t>Environment needs more than ‘just adding water’</w:t>
      </w:r>
      <w:bookmarkEnd w:id="17"/>
    </w:p>
    <w:p w14:paraId="1A867BC5" w14:textId="009D969F" w:rsidR="00D36C82" w:rsidRDefault="00D55494" w:rsidP="00FB249F">
      <w:pPr>
        <w:jc w:val="both"/>
      </w:pPr>
      <w:r>
        <w:t xml:space="preserve">The evidence-base developed as part of the 2026 Basin Plan Review provides the best-available science on the environmental priorities in the Basin, and importantly, on the connection </w:t>
      </w:r>
      <w:r w:rsidR="00B47346">
        <w:t xml:space="preserve">(or not) </w:t>
      </w:r>
      <w:r>
        <w:t xml:space="preserve">of further SDL adjustments </w:t>
      </w:r>
      <w:r w:rsidR="00B47346">
        <w:t xml:space="preserve">towards achieving those outcomes. </w:t>
      </w:r>
    </w:p>
    <w:p w14:paraId="5E14B171" w14:textId="10DC8E8F" w:rsidR="00CD2E24" w:rsidRDefault="00D831FA" w:rsidP="00FB249F">
      <w:pPr>
        <w:jc w:val="both"/>
      </w:pPr>
      <w:r>
        <w:t>As part of the initial SDL assessments, the 3 lines of inquiry examined were</w:t>
      </w:r>
      <w:r w:rsidR="00B916BA">
        <w:rPr>
          <w:rStyle w:val="FootnoteReference"/>
        </w:rPr>
        <w:footnoteReference w:id="8"/>
      </w:r>
      <w:r>
        <w:t>:</w:t>
      </w:r>
    </w:p>
    <w:p w14:paraId="2B341196" w14:textId="77777777" w:rsidR="00C64002" w:rsidRDefault="00C64002" w:rsidP="00FB249F">
      <w:pPr>
        <w:pStyle w:val="ListParagraph"/>
        <w:numPr>
          <w:ilvl w:val="0"/>
          <w:numId w:val="19"/>
        </w:numPr>
        <w:jc w:val="both"/>
      </w:pPr>
      <w:r w:rsidRPr="00C64002">
        <w:t xml:space="preserve">Line of Enquiry 1: current implementation of the Basin Plan (and level of use) as at June 2024 – this line of enquiry represents the outcomes of Basin Plan implementation to date, recognising implementation is ongoing. </w:t>
      </w:r>
    </w:p>
    <w:p w14:paraId="0F6C78B2" w14:textId="08A2D349" w:rsidR="00EA2525" w:rsidRDefault="00EA2525" w:rsidP="00FB249F">
      <w:pPr>
        <w:pStyle w:val="ListParagraph"/>
        <w:numPr>
          <w:ilvl w:val="1"/>
          <w:numId w:val="19"/>
        </w:numPr>
        <w:jc w:val="both"/>
      </w:pPr>
      <w:r>
        <w:t xml:space="preserve">This included </w:t>
      </w:r>
      <w:r w:rsidRPr="00EA2525">
        <w:t>SDLAM projects considered complete and operational as at 30 June 2024.</w:t>
      </w:r>
    </w:p>
    <w:p w14:paraId="02032F05" w14:textId="77777777" w:rsidR="00C64002" w:rsidRDefault="00C64002" w:rsidP="00FB249F">
      <w:pPr>
        <w:pStyle w:val="ListParagraph"/>
        <w:numPr>
          <w:ilvl w:val="0"/>
          <w:numId w:val="19"/>
        </w:numPr>
        <w:jc w:val="both"/>
      </w:pPr>
      <w:r w:rsidRPr="00C64002">
        <w:t xml:space="preserve">Line of Enquiry 2: full Basin Plan implementation (and full use of the SDL) – this line of enquiry represents the expected outcomes under a fully implemented Basin Plan. </w:t>
      </w:r>
    </w:p>
    <w:p w14:paraId="62740975" w14:textId="7B9D7E50" w:rsidR="00EA2525" w:rsidRDefault="00677956" w:rsidP="00FB249F">
      <w:pPr>
        <w:pStyle w:val="ListParagraph"/>
        <w:numPr>
          <w:ilvl w:val="1"/>
          <w:numId w:val="19"/>
        </w:numPr>
        <w:jc w:val="both"/>
      </w:pPr>
      <w:r>
        <w:t xml:space="preserve">Assumed </w:t>
      </w:r>
      <w:r w:rsidRPr="00677956">
        <w:t xml:space="preserve">SDLAM reconciliation has occurred and it is assumed there is a </w:t>
      </w:r>
      <w:r w:rsidRPr="008E68B3">
        <w:rPr>
          <w:b/>
          <w:bCs/>
        </w:rPr>
        <w:t>300GL/y shortfall</w:t>
      </w:r>
      <w:r>
        <w:t>.</w:t>
      </w:r>
    </w:p>
    <w:p w14:paraId="7DE88AB9" w14:textId="75EA84AD" w:rsidR="00677956" w:rsidRDefault="00677956" w:rsidP="00FB249F">
      <w:pPr>
        <w:pStyle w:val="ListParagraph"/>
        <w:numPr>
          <w:ilvl w:val="1"/>
          <w:numId w:val="19"/>
        </w:numPr>
        <w:jc w:val="both"/>
      </w:pPr>
      <w:r>
        <w:t>Assumed c</w:t>
      </w:r>
      <w:r w:rsidRPr="00677956">
        <w:t>onstraints projects will not be resolved in time for SDLAM reconciliation and, as such, constraints have not been relaxed</w:t>
      </w:r>
      <w:r>
        <w:t>.</w:t>
      </w:r>
    </w:p>
    <w:p w14:paraId="4661211F" w14:textId="69BEF5FC" w:rsidR="003C4081" w:rsidRDefault="003C4081" w:rsidP="00FB249F">
      <w:pPr>
        <w:pStyle w:val="ListParagraph"/>
        <w:numPr>
          <w:ilvl w:val="1"/>
          <w:numId w:val="19"/>
        </w:numPr>
        <w:jc w:val="both"/>
      </w:pPr>
      <w:r w:rsidRPr="003C4081">
        <w:t>The gap from BDL to SDL has been bridged through water recovery</w:t>
      </w:r>
      <w:r>
        <w:t>.</w:t>
      </w:r>
    </w:p>
    <w:p w14:paraId="6FCA8400" w14:textId="7E2AD6B4" w:rsidR="003C4081" w:rsidRDefault="00716956" w:rsidP="00FB249F">
      <w:pPr>
        <w:pStyle w:val="ListParagraph"/>
        <w:numPr>
          <w:ilvl w:val="1"/>
          <w:numId w:val="19"/>
        </w:numPr>
        <w:jc w:val="both"/>
      </w:pPr>
      <w:r w:rsidRPr="00716956">
        <w:t>The recovery of 450 GL/y for enhanced environmental outcomes is complete</w:t>
      </w:r>
      <w:r>
        <w:t>.</w:t>
      </w:r>
    </w:p>
    <w:p w14:paraId="0BCBF0DA" w14:textId="49807633" w:rsidR="00745233" w:rsidRDefault="00C64002" w:rsidP="00FB249F">
      <w:pPr>
        <w:pStyle w:val="ListParagraph"/>
        <w:numPr>
          <w:ilvl w:val="0"/>
          <w:numId w:val="19"/>
        </w:numPr>
        <w:jc w:val="both"/>
      </w:pPr>
      <w:r w:rsidRPr="00C64002">
        <w:t>Line of Enquiry 3: full implementation under a range of plausible future hydroclimates</w:t>
      </w:r>
      <w:r>
        <w:t>.</w:t>
      </w:r>
    </w:p>
    <w:p w14:paraId="43D3172E" w14:textId="45558D56" w:rsidR="006924CC" w:rsidRDefault="008E68B3" w:rsidP="00FB249F">
      <w:pPr>
        <w:jc w:val="both"/>
      </w:pPr>
      <w:r>
        <w:t xml:space="preserve">Therefore, comparing the environmental outcomes between Lines of Inquiry 1 and 2 in the initial SDL assessments, can provide a </w:t>
      </w:r>
      <w:r w:rsidR="006552F6">
        <w:t>reasonable</w:t>
      </w:r>
      <w:r>
        <w:t xml:space="preserve"> indicator of</w:t>
      </w:r>
      <w:r w:rsidR="006552F6">
        <w:t xml:space="preserve"> environmental outcomes </w:t>
      </w:r>
      <w:r w:rsidR="006924CC">
        <w:t>to inform</w:t>
      </w:r>
      <w:r w:rsidR="006552F6">
        <w:t xml:space="preserve"> </w:t>
      </w:r>
      <w:r w:rsidR="00854BE1">
        <w:t>Government</w:t>
      </w:r>
      <w:r w:rsidR="006552F6">
        <w:t xml:space="preserve"> </w:t>
      </w:r>
      <w:r w:rsidR="006924CC">
        <w:t xml:space="preserve">decisions on how to respond to the </w:t>
      </w:r>
      <w:r w:rsidR="006A24F8">
        <w:t>R</w:t>
      </w:r>
      <w:r w:rsidR="006924CC">
        <w:t>econciliation.</w:t>
      </w:r>
    </w:p>
    <w:p w14:paraId="22B856B2" w14:textId="163B1900" w:rsidR="006924CC" w:rsidRDefault="00B916BA" w:rsidP="00FB249F">
      <w:pPr>
        <w:jc w:val="both"/>
      </w:pPr>
      <w:r>
        <w:t xml:space="preserve">In fact, given the supply contribution in the Draft Determination is </w:t>
      </w:r>
      <w:r w:rsidRPr="00B916BA">
        <w:t>265 GL</w:t>
      </w:r>
      <w:r>
        <w:t xml:space="preserve">, the 300 GL assumed in </w:t>
      </w:r>
      <w:r w:rsidR="006A24F8">
        <w:t xml:space="preserve">Line of Enquiry 2 is </w:t>
      </w:r>
      <w:proofErr w:type="gramStart"/>
      <w:r w:rsidR="00E41500">
        <w:t xml:space="preserve">actually </w:t>
      </w:r>
      <w:r w:rsidR="006A24F8">
        <w:t>beyond</w:t>
      </w:r>
      <w:proofErr w:type="gramEnd"/>
      <w:r w:rsidR="006A24F8">
        <w:t xml:space="preserve"> this</w:t>
      </w:r>
      <w:r w:rsidR="00E41500">
        <w:t xml:space="preserve"> (i.e. assumes an even greater shortfall), in addition to the full 450 GL. </w:t>
      </w:r>
    </w:p>
    <w:p w14:paraId="19FB4A83" w14:textId="5752272B" w:rsidR="007C1B85" w:rsidRDefault="007C1B85" w:rsidP="007C1B85">
      <w:pPr>
        <w:jc w:val="center"/>
      </w:pPr>
      <w:r>
        <w:rPr>
          <w:b/>
          <w:bCs/>
          <w:i/>
          <w:iCs/>
          <w:color w:val="00538F" w:themeColor="accent1" w:themeShade="BF"/>
        </w:rPr>
        <w:t>Recommendation</w:t>
      </w:r>
      <w:r w:rsidRPr="00E9306E">
        <w:rPr>
          <w:b/>
          <w:bCs/>
          <w:i/>
          <w:iCs/>
          <w:color w:val="00538F" w:themeColor="accent1" w:themeShade="BF"/>
        </w:rPr>
        <w:t xml:space="preserve"> </w:t>
      </w:r>
      <w:r w:rsidR="00E12B01">
        <w:rPr>
          <w:b/>
          <w:bCs/>
          <w:i/>
          <w:iCs/>
          <w:color w:val="00538F" w:themeColor="accent1" w:themeShade="BF"/>
        </w:rPr>
        <w:t>4</w:t>
      </w:r>
      <w:r w:rsidRPr="00E9306E">
        <w:rPr>
          <w:b/>
          <w:bCs/>
          <w:i/>
          <w:iCs/>
          <w:color w:val="00538F" w:themeColor="accent1" w:themeShade="BF"/>
        </w:rPr>
        <w:t>:</w:t>
      </w:r>
      <w:r>
        <w:rPr>
          <w:b/>
          <w:bCs/>
          <w:i/>
          <w:iCs/>
          <w:color w:val="00538F" w:themeColor="accent1" w:themeShade="BF"/>
        </w:rPr>
        <w:t xml:space="preserve"> </w:t>
      </w:r>
      <w:r w:rsidR="00253280">
        <w:rPr>
          <w:b/>
          <w:bCs/>
          <w:i/>
          <w:iCs/>
          <w:color w:val="00538F" w:themeColor="accent1" w:themeShade="BF"/>
        </w:rPr>
        <w:t>The evidence-base developed as part of the Basin Plan Review must information the recommendations provided by the MDBA</w:t>
      </w:r>
      <w:r w:rsidR="000E5F22">
        <w:rPr>
          <w:b/>
          <w:bCs/>
          <w:i/>
          <w:iCs/>
          <w:color w:val="00538F" w:themeColor="accent1" w:themeShade="BF"/>
        </w:rPr>
        <w:t xml:space="preserve"> to inform decision-making. </w:t>
      </w:r>
    </w:p>
    <w:p w14:paraId="6E15F15D" w14:textId="2A9863E5" w:rsidR="00652E83" w:rsidRDefault="00652E83" w:rsidP="00FB249F">
      <w:pPr>
        <w:jc w:val="both"/>
      </w:pPr>
      <w:r>
        <w:t>The NIC Submission to the Basin Plan Review analysed the data provided in all initial SDL assessments in detail.</w:t>
      </w:r>
    </w:p>
    <w:p w14:paraId="270C7DB5" w14:textId="2F0279F8" w:rsidR="00A617A1" w:rsidRDefault="00A617A1" w:rsidP="00FB249F">
      <w:pPr>
        <w:jc w:val="both"/>
      </w:pPr>
      <w:r>
        <w:t xml:space="preserve">A key finding was the limited improvement between the lines of enquiry, as represented below with only 8% of assessments for individual themes across all water source units, registering an improvement. </w:t>
      </w:r>
    </w:p>
    <w:p w14:paraId="334702FC" w14:textId="55DDA275" w:rsidR="0045172C" w:rsidRDefault="0045172C" w:rsidP="00FB249F">
      <w:pPr>
        <w:jc w:val="both"/>
      </w:pPr>
      <w:r w:rsidRPr="000B4CB5">
        <w:rPr>
          <w:color w:val="808080" w:themeColor="background1" w:themeShade="80"/>
        </w:rPr>
        <w:t xml:space="preserve">Figure </w:t>
      </w:r>
      <w:r>
        <w:rPr>
          <w:color w:val="808080" w:themeColor="background1" w:themeShade="80"/>
        </w:rPr>
        <w:t>6</w:t>
      </w:r>
      <w:r w:rsidRPr="000B4CB5">
        <w:rPr>
          <w:color w:val="808080" w:themeColor="background1" w:themeShade="80"/>
        </w:rPr>
        <w:t>:</w:t>
      </w:r>
      <w:r>
        <w:rPr>
          <w:color w:val="808080" w:themeColor="background1" w:themeShade="80"/>
        </w:rPr>
        <w:t xml:space="preserve"> Percentage </w:t>
      </w:r>
      <w:r w:rsidRPr="0045172C">
        <w:rPr>
          <w:color w:val="808080" w:themeColor="background1" w:themeShade="80"/>
          <w:lang w:val="en-US"/>
        </w:rPr>
        <w:t>of</w:t>
      </w:r>
      <w:r>
        <w:rPr>
          <w:color w:val="808080" w:themeColor="background1" w:themeShade="80"/>
          <w:lang w:val="en-US"/>
        </w:rPr>
        <w:t xml:space="preserve"> environmental</w:t>
      </w:r>
      <w:r w:rsidRPr="0045172C">
        <w:rPr>
          <w:color w:val="808080" w:themeColor="background1" w:themeShade="80"/>
          <w:lang w:val="en-US"/>
        </w:rPr>
        <w:t xml:space="preserve"> themes in surface water source</w:t>
      </w:r>
      <w:r>
        <w:rPr>
          <w:color w:val="808080" w:themeColor="background1" w:themeShade="80"/>
          <w:lang w:val="en-US"/>
        </w:rPr>
        <w:t>s</w:t>
      </w:r>
      <w:r w:rsidRPr="0045172C">
        <w:rPr>
          <w:color w:val="808080" w:themeColor="background1" w:themeShade="80"/>
          <w:lang w:val="en-US"/>
        </w:rPr>
        <w:t xml:space="preserve"> with a changed outcome from LoE1 to LoE2</w:t>
      </w:r>
      <w:r>
        <w:rPr>
          <w:color w:val="808080" w:themeColor="background1" w:themeShade="80"/>
          <w:lang w:val="en-US"/>
        </w:rPr>
        <w:t xml:space="preserve"> (extract from NIC Submission to Basin Plan Review Discussion Paper, based on MDBA data)</w:t>
      </w:r>
    </w:p>
    <w:p w14:paraId="122E71DD" w14:textId="253F4111" w:rsidR="00652E83" w:rsidRDefault="00A617A1" w:rsidP="00A617A1">
      <w:r>
        <w:rPr>
          <w:noProof/>
        </w:rPr>
        <w:drawing>
          <wp:inline distT="0" distB="0" distL="0" distR="0" wp14:anchorId="06AFDCC5" wp14:editId="23B51426">
            <wp:extent cx="4582633" cy="2796363"/>
            <wp:effectExtent l="0" t="0" r="8890" b="4445"/>
            <wp:docPr id="164520208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B8A2F36" w14:textId="102C9A37" w:rsidR="00FB249F" w:rsidRDefault="00FB249F" w:rsidP="00FB249F">
      <w:pPr>
        <w:jc w:val="center"/>
      </w:pPr>
      <w:r w:rsidRPr="00E9306E">
        <w:rPr>
          <w:b/>
          <w:bCs/>
          <w:i/>
          <w:iCs/>
          <w:color w:val="00538F" w:themeColor="accent1" w:themeShade="BF"/>
        </w:rPr>
        <w:t>Finding</w:t>
      </w:r>
      <w:r>
        <w:rPr>
          <w:b/>
          <w:bCs/>
          <w:i/>
          <w:iCs/>
          <w:color w:val="00538F" w:themeColor="accent1" w:themeShade="BF"/>
        </w:rPr>
        <w:t xml:space="preserve"> </w:t>
      </w:r>
      <w:r w:rsidR="007452BD">
        <w:rPr>
          <w:b/>
          <w:bCs/>
          <w:i/>
          <w:iCs/>
          <w:color w:val="00538F" w:themeColor="accent1" w:themeShade="BF"/>
        </w:rPr>
        <w:t>9</w:t>
      </w:r>
      <w:r w:rsidRPr="00E9306E">
        <w:rPr>
          <w:b/>
          <w:bCs/>
          <w:i/>
          <w:iCs/>
          <w:color w:val="00538F" w:themeColor="accent1" w:themeShade="BF"/>
        </w:rPr>
        <w:t xml:space="preserve">: </w:t>
      </w:r>
      <w:r>
        <w:rPr>
          <w:b/>
          <w:bCs/>
          <w:i/>
          <w:iCs/>
          <w:color w:val="00538F" w:themeColor="accent1" w:themeShade="BF"/>
        </w:rPr>
        <w:t xml:space="preserve">Even under a scenario of a greater </w:t>
      </w:r>
      <w:r w:rsidR="00E92C5E">
        <w:rPr>
          <w:b/>
          <w:bCs/>
          <w:i/>
          <w:iCs/>
          <w:color w:val="00538F" w:themeColor="accent1" w:themeShade="BF"/>
        </w:rPr>
        <w:t>shortfall,</w:t>
      </w:r>
      <w:r w:rsidR="00BE28AC">
        <w:rPr>
          <w:b/>
          <w:bCs/>
          <w:i/>
          <w:iCs/>
          <w:color w:val="00538F" w:themeColor="accent1" w:themeShade="BF"/>
        </w:rPr>
        <w:t xml:space="preserve"> and full recovery of the 450 GL,</w:t>
      </w:r>
      <w:r w:rsidR="00E92C5E">
        <w:rPr>
          <w:b/>
          <w:bCs/>
          <w:i/>
          <w:iCs/>
          <w:color w:val="00538F" w:themeColor="accent1" w:themeShade="BF"/>
        </w:rPr>
        <w:t xml:space="preserve"> </w:t>
      </w:r>
      <w:r w:rsidR="00BE28AC">
        <w:rPr>
          <w:b/>
          <w:bCs/>
          <w:i/>
          <w:iCs/>
          <w:color w:val="00538F" w:themeColor="accent1" w:themeShade="BF"/>
        </w:rPr>
        <w:t xml:space="preserve">92% of environmental indicators across all water resource units </w:t>
      </w:r>
      <w:r w:rsidR="00C45937">
        <w:rPr>
          <w:b/>
          <w:bCs/>
          <w:i/>
          <w:iCs/>
          <w:color w:val="00538F" w:themeColor="accent1" w:themeShade="BF"/>
        </w:rPr>
        <w:t xml:space="preserve">did not register an improved score. </w:t>
      </w:r>
      <w:r w:rsidR="00BE28AC">
        <w:rPr>
          <w:b/>
          <w:bCs/>
          <w:i/>
          <w:iCs/>
          <w:color w:val="00538F" w:themeColor="accent1" w:themeShade="BF"/>
        </w:rPr>
        <w:t xml:space="preserve"> </w:t>
      </w:r>
    </w:p>
    <w:p w14:paraId="35E764CF" w14:textId="26A8379A" w:rsidR="0093247D" w:rsidRDefault="0093247D" w:rsidP="00FC0A34">
      <w:pPr>
        <w:jc w:val="both"/>
      </w:pPr>
      <w:r>
        <w:t>For example, the NSW Murray was identified as having environmental outcomes at-risk, however, no indicators changed between LoE1 and LoE2 of further water recovery</w:t>
      </w:r>
      <w:r w:rsidR="00FC0A34">
        <w:t xml:space="preserve"> (i.e. noting this is under a greater SDLAM shortfall scenario)</w:t>
      </w:r>
      <w:r>
        <w:t xml:space="preserve">. This means even if further water recovery in response to SDLAM reconciliation, it would not improve these outcomes. </w:t>
      </w:r>
    </w:p>
    <w:p w14:paraId="470C73CE" w14:textId="5C17C0BD" w:rsidR="007C177B" w:rsidRDefault="007C177B" w:rsidP="00FC0A34">
      <w:pPr>
        <w:jc w:val="both"/>
      </w:pPr>
      <w:r w:rsidRPr="000B4CB5">
        <w:rPr>
          <w:color w:val="808080" w:themeColor="background1" w:themeShade="80"/>
        </w:rPr>
        <w:t>Figure</w:t>
      </w:r>
      <w:r w:rsidR="00674AE8">
        <w:rPr>
          <w:color w:val="808080" w:themeColor="background1" w:themeShade="80"/>
        </w:rPr>
        <w:t>s</w:t>
      </w:r>
      <w:r w:rsidRPr="000B4CB5">
        <w:rPr>
          <w:color w:val="808080" w:themeColor="background1" w:themeShade="80"/>
        </w:rPr>
        <w:t xml:space="preserve"> </w:t>
      </w:r>
      <w:r>
        <w:rPr>
          <w:color w:val="808080" w:themeColor="background1" w:themeShade="80"/>
        </w:rPr>
        <w:t xml:space="preserve">7: Extracts from MDBA Initial SDL Assessments for NSW Murray, Victorian Murray and Goulburn showing no change in outcomes from LoE1-LoE2 </w:t>
      </w:r>
    </w:p>
    <w:p w14:paraId="3D4594CA" w14:textId="77777777" w:rsidR="00ED740F" w:rsidRPr="00F83F6E" w:rsidRDefault="00ED740F" w:rsidP="00ED740F">
      <w:pPr>
        <w:rPr>
          <w:i/>
          <w:iCs/>
        </w:rPr>
      </w:pPr>
      <w:r w:rsidRPr="00F83F6E">
        <w:rPr>
          <w:i/>
          <w:iCs/>
        </w:rPr>
        <w:t>NSW Murray (no change)</w:t>
      </w:r>
    </w:p>
    <w:p w14:paraId="0ED57AEF" w14:textId="070CC3F8" w:rsidR="00D60F24" w:rsidRDefault="00ED740F" w:rsidP="00ED740F">
      <w:r w:rsidRPr="008F088E">
        <w:rPr>
          <w:noProof/>
        </w:rPr>
        <w:drawing>
          <wp:inline distT="0" distB="0" distL="0" distR="0" wp14:anchorId="4478A7D0" wp14:editId="63CAAEE7">
            <wp:extent cx="4614530" cy="2346631"/>
            <wp:effectExtent l="0" t="0" r="0" b="0"/>
            <wp:docPr id="181801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85307" name=""/>
                    <pic:cNvPicPr/>
                  </pic:nvPicPr>
                  <pic:blipFill>
                    <a:blip r:embed="rId20"/>
                    <a:stretch>
                      <a:fillRect/>
                    </a:stretch>
                  </pic:blipFill>
                  <pic:spPr>
                    <a:xfrm>
                      <a:off x="0" y="0"/>
                      <a:ext cx="4651329" cy="2365344"/>
                    </a:xfrm>
                    <a:prstGeom prst="rect">
                      <a:avLst/>
                    </a:prstGeom>
                  </pic:spPr>
                </pic:pic>
              </a:graphicData>
            </a:graphic>
          </wp:inline>
        </w:drawing>
      </w:r>
    </w:p>
    <w:p w14:paraId="56B66371" w14:textId="5F9D3D32" w:rsidR="000C29C7" w:rsidRDefault="000C29C7" w:rsidP="00ED740F">
      <w:r>
        <w:t>Several other water sources are similar in that there is no change</w:t>
      </w:r>
      <w:r w:rsidR="00FC0A34">
        <w:t xml:space="preserve"> shown</w:t>
      </w:r>
      <w:r>
        <w:t>, such as the Victoria</w:t>
      </w:r>
      <w:r w:rsidR="00E3023E">
        <w:t>n</w:t>
      </w:r>
      <w:r>
        <w:t xml:space="preserve"> Murray</w:t>
      </w:r>
      <w:r w:rsidR="00E3023E">
        <w:t xml:space="preserve"> and Goulburn, as shown below. </w:t>
      </w:r>
      <w:r w:rsidR="00E82795">
        <w:t xml:space="preserve">These are all water sources which face a substantial shortfall in supply contributions. </w:t>
      </w:r>
    </w:p>
    <w:p w14:paraId="0D5D1483" w14:textId="77777777" w:rsidR="00D60F24" w:rsidRDefault="00D60F24" w:rsidP="00D60F24">
      <w:r>
        <w:t>Vic Murray (no change)</w:t>
      </w:r>
    </w:p>
    <w:p w14:paraId="46E8A428" w14:textId="77777777" w:rsidR="00D60F24" w:rsidRDefault="00D60F24" w:rsidP="00D60F24">
      <w:r w:rsidRPr="00582CDC">
        <w:rPr>
          <w:noProof/>
        </w:rPr>
        <w:drawing>
          <wp:inline distT="0" distB="0" distL="0" distR="0" wp14:anchorId="65EE5FB5" wp14:editId="04DA800B">
            <wp:extent cx="4444409" cy="2405378"/>
            <wp:effectExtent l="0" t="0" r="0" b="0"/>
            <wp:docPr id="1977881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881543" name=""/>
                    <pic:cNvPicPr/>
                  </pic:nvPicPr>
                  <pic:blipFill>
                    <a:blip r:embed="rId21"/>
                    <a:stretch>
                      <a:fillRect/>
                    </a:stretch>
                  </pic:blipFill>
                  <pic:spPr>
                    <a:xfrm>
                      <a:off x="0" y="0"/>
                      <a:ext cx="4457875" cy="2412666"/>
                    </a:xfrm>
                    <a:prstGeom prst="rect">
                      <a:avLst/>
                    </a:prstGeom>
                  </pic:spPr>
                </pic:pic>
              </a:graphicData>
            </a:graphic>
          </wp:inline>
        </w:drawing>
      </w:r>
    </w:p>
    <w:p w14:paraId="51F38A32" w14:textId="77777777" w:rsidR="000C29C7" w:rsidRDefault="000C29C7" w:rsidP="000C29C7">
      <w:r>
        <w:t>Goulburn (no change)</w:t>
      </w:r>
    </w:p>
    <w:p w14:paraId="07098A1E" w14:textId="77777777" w:rsidR="000C29C7" w:rsidRDefault="000C29C7" w:rsidP="000C29C7">
      <w:r w:rsidRPr="00AE6ACD">
        <w:rPr>
          <w:noProof/>
        </w:rPr>
        <w:drawing>
          <wp:inline distT="0" distB="0" distL="0" distR="0" wp14:anchorId="14044E3C" wp14:editId="043A0328">
            <wp:extent cx="4795284" cy="2550118"/>
            <wp:effectExtent l="0" t="0" r="5715" b="3175"/>
            <wp:docPr id="1645073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073546" name=""/>
                    <pic:cNvPicPr/>
                  </pic:nvPicPr>
                  <pic:blipFill>
                    <a:blip r:embed="rId22"/>
                    <a:stretch>
                      <a:fillRect/>
                    </a:stretch>
                  </pic:blipFill>
                  <pic:spPr>
                    <a:xfrm>
                      <a:off x="0" y="0"/>
                      <a:ext cx="4802933" cy="2554186"/>
                    </a:xfrm>
                    <a:prstGeom prst="rect">
                      <a:avLst/>
                    </a:prstGeom>
                  </pic:spPr>
                </pic:pic>
              </a:graphicData>
            </a:graphic>
          </wp:inline>
        </w:drawing>
      </w:r>
    </w:p>
    <w:p w14:paraId="7213B855" w14:textId="0B7B1B3A" w:rsidR="00761368" w:rsidRDefault="006552F6" w:rsidP="00761368">
      <w:r>
        <w:t xml:space="preserve"> </w:t>
      </w:r>
      <w:r w:rsidR="00E530BC">
        <w:t xml:space="preserve">It is critical then to consider the SDLAM Reconciliation </w:t>
      </w:r>
      <w:r w:rsidR="00BB489B">
        <w:t>in the context of what environmental outcomes it can (or cannot) achieve.</w:t>
      </w:r>
    </w:p>
    <w:p w14:paraId="3A64CCC9" w14:textId="4B0C4302" w:rsidR="00552FEC" w:rsidRDefault="00573559" w:rsidP="00761368">
      <w:r>
        <w:t xml:space="preserve">Table 6 below compiles the supply contributions shortfalls for key Southern Basin water sources, alongside the data provided by the MDBA in the initial SDL assessments. </w:t>
      </w:r>
      <w:r w:rsidR="00552FEC">
        <w:t xml:space="preserve">The key findings from Table 6 </w:t>
      </w:r>
      <w:r w:rsidR="00413A8F">
        <w:t>are</w:t>
      </w:r>
      <w:r w:rsidR="00552FEC">
        <w:t xml:space="preserve"> that:</w:t>
      </w:r>
    </w:p>
    <w:p w14:paraId="23F0FDC7" w14:textId="0E96BF5E" w:rsidR="00552FEC" w:rsidRDefault="00552FEC" w:rsidP="00552FEC">
      <w:pPr>
        <w:pStyle w:val="ListParagraph"/>
        <w:numPr>
          <w:ilvl w:val="0"/>
          <w:numId w:val="20"/>
        </w:numPr>
      </w:pPr>
      <w:r>
        <w:t>No water sources have water-sharing as the ‘problem to solve’</w:t>
      </w:r>
      <w:r w:rsidR="009409DD">
        <w:t>, with most sources having pattern of flow (i.e. constraints management) as the primary driver</w:t>
      </w:r>
      <w:r w:rsidR="00CE4C5C">
        <w:t>.</w:t>
      </w:r>
    </w:p>
    <w:p w14:paraId="5AE06605" w14:textId="77777777" w:rsidR="00E04764" w:rsidRDefault="00E04764" w:rsidP="00552FEC">
      <w:pPr>
        <w:pStyle w:val="ListParagraph"/>
        <w:numPr>
          <w:ilvl w:val="0"/>
          <w:numId w:val="20"/>
        </w:numPr>
      </w:pPr>
      <w:r>
        <w:t xml:space="preserve">The supply shortfall is now detached from the evidence-base on what measures are required to directly target the environmental outcome risks. </w:t>
      </w:r>
    </w:p>
    <w:p w14:paraId="744E905A" w14:textId="2B0E6E8C" w:rsidR="00552FEC" w:rsidRDefault="00E04764" w:rsidP="00E04764">
      <w:pPr>
        <w:sectPr w:rsidR="00552FEC" w:rsidSect="00911A1E">
          <w:pgSz w:w="11906" w:h="16838"/>
          <w:pgMar w:top="1440" w:right="1440" w:bottom="1440" w:left="1440" w:header="708" w:footer="708" w:gutter="0"/>
          <w:cols w:space="708"/>
          <w:titlePg/>
          <w:docGrid w:linePitch="360"/>
        </w:sectPr>
      </w:pPr>
      <w:r>
        <w:t xml:space="preserve"> </w:t>
      </w:r>
      <w:r w:rsidR="00552FEC">
        <w:t xml:space="preserve"> </w:t>
      </w:r>
      <w:r w:rsidRPr="00E9306E">
        <w:rPr>
          <w:b/>
          <w:bCs/>
          <w:i/>
          <w:iCs/>
          <w:color w:val="00538F" w:themeColor="accent1" w:themeShade="BF"/>
        </w:rPr>
        <w:t>Finding</w:t>
      </w:r>
      <w:r>
        <w:rPr>
          <w:b/>
          <w:bCs/>
          <w:i/>
          <w:iCs/>
          <w:color w:val="00538F" w:themeColor="accent1" w:themeShade="BF"/>
        </w:rPr>
        <w:t xml:space="preserve"> </w:t>
      </w:r>
      <w:r w:rsidR="007452BD">
        <w:rPr>
          <w:b/>
          <w:bCs/>
          <w:i/>
          <w:iCs/>
          <w:color w:val="00538F" w:themeColor="accent1" w:themeShade="BF"/>
        </w:rPr>
        <w:t>10</w:t>
      </w:r>
      <w:r w:rsidRPr="00E9306E">
        <w:rPr>
          <w:b/>
          <w:bCs/>
          <w:i/>
          <w:iCs/>
          <w:color w:val="00538F" w:themeColor="accent1" w:themeShade="BF"/>
        </w:rPr>
        <w:t xml:space="preserve">: </w:t>
      </w:r>
      <w:r w:rsidRPr="00E04764">
        <w:rPr>
          <w:b/>
          <w:bCs/>
          <w:i/>
          <w:iCs/>
          <w:color w:val="00538F" w:themeColor="accent1" w:themeShade="BF"/>
        </w:rPr>
        <w:t>The supply shortfall is now detached from the evidence-base on what measures are required to directly target the environmental outcome risks.</w:t>
      </w:r>
    </w:p>
    <w:p w14:paraId="24D93DDB" w14:textId="7F88097A" w:rsidR="00BB489B" w:rsidRPr="00674AE8" w:rsidRDefault="003F6757" w:rsidP="00761368">
      <w:pPr>
        <w:rPr>
          <w:i/>
          <w:iCs/>
          <w:color w:val="808080" w:themeColor="background1" w:themeShade="80"/>
          <w:lang w:val="en-US"/>
        </w:rPr>
      </w:pPr>
      <w:r w:rsidRPr="00674AE8">
        <w:rPr>
          <w:i/>
          <w:iCs/>
          <w:color w:val="808080" w:themeColor="background1" w:themeShade="80"/>
          <w:lang w:val="en-US"/>
        </w:rPr>
        <w:t xml:space="preserve">Table </w:t>
      </w:r>
      <w:r w:rsidR="00766CFE" w:rsidRPr="00674AE8">
        <w:rPr>
          <w:i/>
          <w:iCs/>
          <w:color w:val="808080" w:themeColor="background1" w:themeShade="80"/>
          <w:lang w:val="en-US"/>
        </w:rPr>
        <w:t>6</w:t>
      </w:r>
      <w:r w:rsidRPr="00674AE8">
        <w:rPr>
          <w:i/>
          <w:iCs/>
          <w:color w:val="808080" w:themeColor="background1" w:themeShade="80"/>
          <w:lang w:val="en-US"/>
        </w:rPr>
        <w:t xml:space="preserve">: NIC compilation of water sources with a supply shortfall, compared to the </w:t>
      </w:r>
      <w:r w:rsidR="00C13B03" w:rsidRPr="00674AE8">
        <w:rPr>
          <w:i/>
          <w:iCs/>
          <w:color w:val="808080" w:themeColor="background1" w:themeShade="80"/>
          <w:lang w:val="en-US"/>
        </w:rPr>
        <w:t xml:space="preserve">environmental outcomes identified in the </w:t>
      </w:r>
      <w:r w:rsidRPr="00674AE8">
        <w:rPr>
          <w:i/>
          <w:iCs/>
          <w:color w:val="808080" w:themeColor="background1" w:themeShade="80"/>
          <w:lang w:val="en-US"/>
        </w:rPr>
        <w:t>MDBA’s Initial SDL assessments</w:t>
      </w:r>
      <w:r w:rsidR="00766CFE" w:rsidRPr="00674AE8">
        <w:rPr>
          <w:i/>
          <w:iCs/>
          <w:color w:val="808080" w:themeColor="background1" w:themeShade="80"/>
          <w:lang w:val="en-US"/>
        </w:rPr>
        <w:t>,</w:t>
      </w:r>
      <w:r w:rsidRPr="00674AE8">
        <w:rPr>
          <w:i/>
          <w:iCs/>
          <w:color w:val="808080" w:themeColor="background1" w:themeShade="80"/>
          <w:lang w:val="en-US"/>
        </w:rPr>
        <w:t xml:space="preserve"> with NIC analysis </w:t>
      </w:r>
    </w:p>
    <w:tbl>
      <w:tblPr>
        <w:tblStyle w:val="TableGrid"/>
        <w:tblW w:w="15026" w:type="dxa"/>
        <w:tblInd w:w="-289" w:type="dxa"/>
        <w:tblLayout w:type="fixed"/>
        <w:tblLook w:val="04A0" w:firstRow="1" w:lastRow="0" w:firstColumn="1" w:lastColumn="0" w:noHBand="0" w:noVBand="1"/>
      </w:tblPr>
      <w:tblGrid>
        <w:gridCol w:w="1560"/>
        <w:gridCol w:w="1134"/>
        <w:gridCol w:w="1418"/>
        <w:gridCol w:w="1417"/>
        <w:gridCol w:w="1559"/>
        <w:gridCol w:w="1418"/>
        <w:gridCol w:w="1276"/>
        <w:gridCol w:w="4252"/>
        <w:gridCol w:w="992"/>
      </w:tblGrid>
      <w:tr w:rsidR="00F64CF8" w:rsidRPr="00BE00EF" w14:paraId="01D97BFD" w14:textId="77777777" w:rsidTr="00C95BB4">
        <w:tc>
          <w:tcPr>
            <w:tcW w:w="1560" w:type="dxa"/>
          </w:tcPr>
          <w:p w14:paraId="5C07F67B"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SDL unit</w:t>
            </w:r>
          </w:p>
        </w:tc>
        <w:tc>
          <w:tcPr>
            <w:tcW w:w="1134" w:type="dxa"/>
            <w:shd w:val="clear" w:color="auto" w:fill="FFC000"/>
          </w:tcPr>
          <w:p w14:paraId="5BF473A1" w14:textId="5654BCE7" w:rsidR="00F64CF8" w:rsidRPr="00BE00EF" w:rsidRDefault="00F64CF8" w:rsidP="00BE00EF">
            <w:pPr>
              <w:rPr>
                <w:rFonts w:ascii="Aptos" w:eastAsia="Aptos" w:hAnsi="Aptos" w:cs="Times New Roman"/>
                <w:b/>
                <w:sz w:val="20"/>
                <w:szCs w:val="20"/>
              </w:rPr>
            </w:pPr>
            <w:r>
              <w:rPr>
                <w:rFonts w:ascii="Aptos" w:eastAsia="Aptos" w:hAnsi="Aptos" w:cs="Times New Roman"/>
                <w:b/>
                <w:sz w:val="20"/>
                <w:szCs w:val="20"/>
              </w:rPr>
              <w:t>Supply Shortfall</w:t>
            </w:r>
            <w:r w:rsidR="00DF6F12">
              <w:rPr>
                <w:rFonts w:ascii="Aptos" w:eastAsia="Aptos" w:hAnsi="Aptos" w:cs="Times New Roman"/>
                <w:b/>
                <w:sz w:val="20"/>
                <w:szCs w:val="20"/>
              </w:rPr>
              <w:t xml:space="preserve"> (Draft Determination)</w:t>
            </w:r>
          </w:p>
        </w:tc>
        <w:tc>
          <w:tcPr>
            <w:tcW w:w="1418" w:type="dxa"/>
          </w:tcPr>
          <w:p w14:paraId="3887B968" w14:textId="6C5D8CEE"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MDBA’s assessment of whether SDL reflects ESLT</w:t>
            </w:r>
            <w:r w:rsidRPr="00BE00EF">
              <w:rPr>
                <w:rFonts w:ascii="Aptos" w:eastAsia="Aptos" w:hAnsi="Aptos" w:cs="Times New Roman"/>
                <w:b/>
                <w:vertAlign w:val="superscript"/>
              </w:rPr>
              <w:footnoteReference w:id="9"/>
            </w:r>
          </w:p>
        </w:tc>
        <w:tc>
          <w:tcPr>
            <w:tcW w:w="1417" w:type="dxa"/>
          </w:tcPr>
          <w:p w14:paraId="49E093C3"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 xml:space="preserve">SDL </w:t>
            </w:r>
          </w:p>
          <w:p w14:paraId="47917688"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compliance</w:t>
            </w:r>
            <w:r w:rsidRPr="00BE00EF">
              <w:rPr>
                <w:rFonts w:ascii="Aptos" w:eastAsia="Aptos" w:hAnsi="Aptos" w:cs="Times New Roman"/>
                <w:b/>
                <w:vertAlign w:val="superscript"/>
              </w:rPr>
              <w:footnoteReference w:id="10"/>
            </w:r>
            <w:r w:rsidRPr="00BE00EF">
              <w:rPr>
                <w:rFonts w:ascii="Aptos" w:eastAsia="Aptos" w:hAnsi="Aptos" w:cs="Times New Roman"/>
                <w:b/>
                <w:sz w:val="20"/>
                <w:szCs w:val="20"/>
              </w:rPr>
              <w:t xml:space="preserve"> </w:t>
            </w:r>
          </w:p>
        </w:tc>
        <w:tc>
          <w:tcPr>
            <w:tcW w:w="1559" w:type="dxa"/>
          </w:tcPr>
          <w:p w14:paraId="05272D16"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Environmental outcome risks, identified by MDBA</w:t>
            </w:r>
            <w:r w:rsidRPr="00BE00EF">
              <w:rPr>
                <w:rFonts w:ascii="Aptos" w:eastAsia="Aptos" w:hAnsi="Aptos" w:cs="Times New Roman"/>
                <w:b/>
                <w:sz w:val="20"/>
                <w:szCs w:val="20"/>
                <w:vertAlign w:val="superscript"/>
              </w:rPr>
              <w:footnoteReference w:id="11"/>
            </w:r>
          </w:p>
        </w:tc>
        <w:tc>
          <w:tcPr>
            <w:tcW w:w="1418" w:type="dxa"/>
          </w:tcPr>
          <w:p w14:paraId="4AF9637B"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Drivers of environmental outcomes at risk, identified by MDBA</w:t>
            </w:r>
            <w:r w:rsidRPr="00BE00EF">
              <w:rPr>
                <w:rFonts w:ascii="Aptos" w:eastAsia="Aptos" w:hAnsi="Aptos" w:cs="Times New Roman"/>
                <w:b/>
                <w:sz w:val="20"/>
                <w:szCs w:val="20"/>
                <w:vertAlign w:val="superscript"/>
              </w:rPr>
              <w:footnoteReference w:id="12"/>
            </w:r>
          </w:p>
        </w:tc>
        <w:tc>
          <w:tcPr>
            <w:tcW w:w="1276" w:type="dxa"/>
          </w:tcPr>
          <w:p w14:paraId="5C6A5241"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Impact of further water recovery on outcomes</w:t>
            </w:r>
            <w:r w:rsidRPr="00BE00EF">
              <w:rPr>
                <w:rFonts w:ascii="Aptos" w:eastAsia="Aptos" w:hAnsi="Aptos" w:cs="Times New Roman"/>
                <w:b/>
                <w:sz w:val="20"/>
                <w:szCs w:val="20"/>
                <w:vertAlign w:val="superscript"/>
              </w:rPr>
              <w:footnoteReference w:id="13"/>
            </w:r>
          </w:p>
        </w:tc>
        <w:tc>
          <w:tcPr>
            <w:tcW w:w="4252" w:type="dxa"/>
            <w:shd w:val="clear" w:color="auto" w:fill="DAE9F7"/>
          </w:tcPr>
          <w:p w14:paraId="75E26904"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NIC Analysis</w:t>
            </w:r>
          </w:p>
        </w:tc>
        <w:tc>
          <w:tcPr>
            <w:tcW w:w="992" w:type="dxa"/>
            <w:shd w:val="clear" w:color="auto" w:fill="0E2841"/>
          </w:tcPr>
          <w:p w14:paraId="09E3C3C1"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Is water-sharing a problem to solve?</w:t>
            </w:r>
          </w:p>
        </w:tc>
      </w:tr>
      <w:tr w:rsidR="00F64CF8" w:rsidRPr="00BE00EF" w14:paraId="12F485BC" w14:textId="77777777" w:rsidTr="5041091D">
        <w:tc>
          <w:tcPr>
            <w:tcW w:w="1560" w:type="dxa"/>
          </w:tcPr>
          <w:p w14:paraId="6E322207"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Murrumbidgee</w:t>
            </w:r>
          </w:p>
        </w:tc>
        <w:tc>
          <w:tcPr>
            <w:tcW w:w="1134" w:type="dxa"/>
            <w:shd w:val="clear" w:color="auto" w:fill="FFEAA7"/>
          </w:tcPr>
          <w:p w14:paraId="1F1B460B" w14:textId="2887CF4A" w:rsidR="00F64CF8" w:rsidRPr="00BE00EF" w:rsidRDefault="00DF6F12" w:rsidP="00BE00EF">
            <w:pPr>
              <w:rPr>
                <w:rFonts w:ascii="Aptos" w:eastAsia="Aptos" w:hAnsi="Aptos" w:cs="Times New Roman"/>
                <w:sz w:val="20"/>
                <w:szCs w:val="20"/>
              </w:rPr>
            </w:pPr>
            <w:r>
              <w:rPr>
                <w:rFonts w:ascii="Aptos" w:eastAsia="Aptos" w:hAnsi="Aptos" w:cs="Times New Roman"/>
                <w:sz w:val="20"/>
                <w:szCs w:val="20"/>
              </w:rPr>
              <w:t>68.66</w:t>
            </w:r>
          </w:p>
        </w:tc>
        <w:tc>
          <w:tcPr>
            <w:tcW w:w="1418" w:type="dxa"/>
            <w:shd w:val="clear" w:color="auto" w:fill="D9F2D0"/>
          </w:tcPr>
          <w:p w14:paraId="14506A1F" w14:textId="49D5834F"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Likely</w:t>
            </w:r>
          </w:p>
        </w:tc>
        <w:tc>
          <w:tcPr>
            <w:tcW w:w="1417" w:type="dxa"/>
            <w:shd w:val="clear" w:color="auto" w:fill="D9F2D0"/>
          </w:tcPr>
          <w:p w14:paraId="6C03D93D"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Yes</w:t>
            </w:r>
          </w:p>
        </w:tc>
        <w:tc>
          <w:tcPr>
            <w:tcW w:w="1559" w:type="dxa"/>
            <w:shd w:val="clear" w:color="auto" w:fill="FAE2D5"/>
          </w:tcPr>
          <w:p w14:paraId="43DB8E9B"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 xml:space="preserve">Native fish, flows and connectivity, </w:t>
            </w:r>
          </w:p>
          <w:p w14:paraId="58FAA4FA"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and native vegetation</w:t>
            </w:r>
          </w:p>
        </w:tc>
        <w:tc>
          <w:tcPr>
            <w:tcW w:w="1418" w:type="dxa"/>
            <w:shd w:val="clear" w:color="auto" w:fill="FFFFFF" w:themeFill="background1"/>
          </w:tcPr>
          <w:p w14:paraId="2297EE67"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Pattern of flow</w:t>
            </w:r>
          </w:p>
        </w:tc>
        <w:tc>
          <w:tcPr>
            <w:tcW w:w="1276" w:type="dxa"/>
            <w:shd w:val="clear" w:color="auto" w:fill="FFFFFF" w:themeFill="background1"/>
          </w:tcPr>
          <w:p w14:paraId="39A1A841"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 xml:space="preserve">2 indicators change, already ‘more likely than not’ and indicators that are already scoring positively in the SRA. No change in SRA indicators scoring poorly. </w:t>
            </w:r>
          </w:p>
        </w:tc>
        <w:tc>
          <w:tcPr>
            <w:tcW w:w="4252" w:type="dxa"/>
            <w:shd w:val="clear" w:color="auto" w:fill="DAE9F7"/>
          </w:tcPr>
          <w:p w14:paraId="09C0A05B"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No case for further water recovery / SDL changes.</w:t>
            </w:r>
          </w:p>
          <w:p w14:paraId="3DD47543" w14:textId="77777777" w:rsidR="00F64CF8" w:rsidRPr="00BE00EF" w:rsidRDefault="00F64CF8" w:rsidP="00BE00EF">
            <w:pPr>
              <w:rPr>
                <w:rFonts w:ascii="Aptos" w:eastAsia="Aptos" w:hAnsi="Aptos" w:cs="Times New Roman"/>
                <w:sz w:val="20"/>
                <w:szCs w:val="20"/>
              </w:rPr>
            </w:pPr>
          </w:p>
          <w:p w14:paraId="1AA359A4"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For all the environmental outcomes identified as at-risk (native fish, flows and connectivity, and native vegetation) there is no change from additional water recovery (LoE1 and LoE2).</w:t>
            </w:r>
          </w:p>
          <w:p w14:paraId="07B2BB4D" w14:textId="77777777" w:rsidR="00F64CF8" w:rsidRPr="00BE00EF" w:rsidRDefault="00F64CF8" w:rsidP="00BE00EF">
            <w:pPr>
              <w:rPr>
                <w:rFonts w:ascii="Aptos" w:eastAsia="Aptos" w:hAnsi="Aptos" w:cs="Times New Roman"/>
                <w:sz w:val="20"/>
                <w:szCs w:val="20"/>
              </w:rPr>
            </w:pPr>
          </w:p>
          <w:p w14:paraId="6EC840D4"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MDBA analysis in the SRA also shows the Murrumbidgee scores ‘very good condition’ for longitudinal connectivity: “</w:t>
            </w:r>
            <w:r w:rsidRPr="00BE00EF">
              <w:rPr>
                <w:rFonts w:ascii="Aptos" w:eastAsia="Aptos" w:hAnsi="Aptos" w:cs="Times New Roman"/>
                <w:i/>
                <w:iCs/>
                <w:sz w:val="20"/>
                <w:szCs w:val="20"/>
              </w:rPr>
              <w:t>The valley met 100% of longitudinal connectivity</w:t>
            </w:r>
            <w:r w:rsidRPr="00BE00EF">
              <w:rPr>
                <w:rFonts w:ascii="Aptos" w:eastAsia="Aptos" w:hAnsi="Aptos" w:cs="Times New Roman"/>
                <w:sz w:val="20"/>
                <w:szCs w:val="20"/>
              </w:rPr>
              <w:t xml:space="preserve"> </w:t>
            </w:r>
            <w:r w:rsidRPr="00BE00EF">
              <w:rPr>
                <w:rFonts w:ascii="Aptos" w:eastAsia="Aptos" w:hAnsi="Aptos" w:cs="Times New Roman"/>
                <w:i/>
                <w:iCs/>
                <w:sz w:val="20"/>
                <w:szCs w:val="20"/>
              </w:rPr>
              <w:t>environmental watering requirements in almost all years</w:t>
            </w:r>
            <w:r w:rsidRPr="00BE00EF">
              <w:rPr>
                <w:rFonts w:ascii="Aptos" w:eastAsia="Aptos" w:hAnsi="Aptos" w:cs="Times New Roman"/>
                <w:sz w:val="20"/>
                <w:szCs w:val="20"/>
              </w:rPr>
              <w:t xml:space="preserve">”. Freshes and bankfull flows also scored positively in the SRA, as well as both low and high floodplain connectivity. </w:t>
            </w:r>
          </w:p>
          <w:p w14:paraId="136BE647" w14:textId="77777777" w:rsidR="00F64CF8" w:rsidRPr="00BE00EF" w:rsidRDefault="00F64CF8" w:rsidP="00BE00EF">
            <w:pPr>
              <w:rPr>
                <w:rFonts w:ascii="Aptos" w:eastAsia="Aptos" w:hAnsi="Aptos" w:cs="Times New Roman"/>
                <w:sz w:val="20"/>
                <w:szCs w:val="20"/>
              </w:rPr>
            </w:pPr>
          </w:p>
          <w:p w14:paraId="2D6DDC94"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It is noted that constraints management was not factored into the MDBA assessments. The initial SDL assessment says, “</w:t>
            </w:r>
            <w:r w:rsidRPr="00BE00EF">
              <w:rPr>
                <w:rFonts w:ascii="Aptos" w:eastAsia="Aptos" w:hAnsi="Aptos" w:cs="Times New Roman"/>
                <w:i/>
                <w:iCs/>
                <w:sz w:val="20"/>
                <w:szCs w:val="20"/>
              </w:rPr>
              <w:t>These measures [NSW Reconnecting River Country Program Murrumbidgee Project] … would substantially alleviate the risks identified in this assessment</w:t>
            </w:r>
            <w:r w:rsidRPr="00BE00EF">
              <w:rPr>
                <w:rFonts w:ascii="Aptos" w:eastAsia="Aptos" w:hAnsi="Aptos" w:cs="Times New Roman"/>
                <w:sz w:val="20"/>
                <w:szCs w:val="20"/>
              </w:rPr>
              <w:t xml:space="preserve">”. This is not a water-sharing issue, rather a water delivery issue. Changing the SDL or recovering more water would not be effective against these environmental risks. </w:t>
            </w:r>
          </w:p>
        </w:tc>
        <w:tc>
          <w:tcPr>
            <w:tcW w:w="992" w:type="dxa"/>
            <w:shd w:val="clear" w:color="auto" w:fill="0E2841"/>
          </w:tcPr>
          <w:p w14:paraId="6AB3E8BD"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No</w:t>
            </w:r>
          </w:p>
        </w:tc>
      </w:tr>
      <w:tr w:rsidR="00F64CF8" w:rsidRPr="00BE00EF" w14:paraId="0BECEE9F" w14:textId="77777777" w:rsidTr="5041091D">
        <w:tc>
          <w:tcPr>
            <w:tcW w:w="1560" w:type="dxa"/>
          </w:tcPr>
          <w:p w14:paraId="0A3DC677"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NSW Murray</w:t>
            </w:r>
          </w:p>
        </w:tc>
        <w:tc>
          <w:tcPr>
            <w:tcW w:w="1134" w:type="dxa"/>
            <w:shd w:val="clear" w:color="auto" w:fill="FFEAA7"/>
          </w:tcPr>
          <w:p w14:paraId="211448DB" w14:textId="0B9643B7" w:rsidR="00F64CF8" w:rsidRPr="00BE00EF" w:rsidRDefault="00BD1C27" w:rsidP="00BE00EF">
            <w:pPr>
              <w:rPr>
                <w:rFonts w:ascii="Aptos" w:eastAsia="Aptos" w:hAnsi="Aptos" w:cs="Times New Roman"/>
                <w:sz w:val="20"/>
                <w:szCs w:val="20"/>
              </w:rPr>
            </w:pPr>
            <w:r>
              <w:rPr>
                <w:rFonts w:ascii="Aptos" w:eastAsia="Aptos" w:hAnsi="Aptos" w:cs="Times New Roman"/>
                <w:sz w:val="20"/>
                <w:szCs w:val="20"/>
              </w:rPr>
              <w:t>56.98</w:t>
            </w:r>
          </w:p>
        </w:tc>
        <w:tc>
          <w:tcPr>
            <w:tcW w:w="1418" w:type="dxa"/>
            <w:shd w:val="clear" w:color="auto" w:fill="D9F2D0"/>
          </w:tcPr>
          <w:p w14:paraId="7EF3671E" w14:textId="6E612D50"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Likely</w:t>
            </w:r>
          </w:p>
        </w:tc>
        <w:tc>
          <w:tcPr>
            <w:tcW w:w="1417" w:type="dxa"/>
            <w:shd w:val="clear" w:color="auto" w:fill="D9F2D0"/>
          </w:tcPr>
          <w:p w14:paraId="5AC7EA53"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Yes</w:t>
            </w:r>
          </w:p>
        </w:tc>
        <w:tc>
          <w:tcPr>
            <w:tcW w:w="1559" w:type="dxa"/>
            <w:shd w:val="clear" w:color="auto" w:fill="FAE2D5"/>
          </w:tcPr>
          <w:p w14:paraId="2ADF8AB4"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Flows and connectivity, ecosystem functions and native fish</w:t>
            </w:r>
          </w:p>
        </w:tc>
        <w:tc>
          <w:tcPr>
            <w:tcW w:w="1418" w:type="dxa"/>
          </w:tcPr>
          <w:p w14:paraId="5CD8E27F"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Pattern of flow</w:t>
            </w:r>
          </w:p>
        </w:tc>
        <w:tc>
          <w:tcPr>
            <w:tcW w:w="1276" w:type="dxa"/>
            <w:shd w:val="clear" w:color="auto" w:fill="FFFFFF" w:themeFill="background1"/>
          </w:tcPr>
          <w:p w14:paraId="07760A71"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 xml:space="preserve">No change </w:t>
            </w:r>
          </w:p>
        </w:tc>
        <w:tc>
          <w:tcPr>
            <w:tcW w:w="4252" w:type="dxa"/>
            <w:shd w:val="clear" w:color="auto" w:fill="DAE9F7"/>
          </w:tcPr>
          <w:p w14:paraId="567B3E88"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MDBA analysis shows no change in environmental outcomes from further water recovery. Therefore, there is no case for further water recovery / SDL changes.</w:t>
            </w:r>
          </w:p>
        </w:tc>
        <w:tc>
          <w:tcPr>
            <w:tcW w:w="992" w:type="dxa"/>
            <w:shd w:val="clear" w:color="auto" w:fill="0E2841"/>
          </w:tcPr>
          <w:p w14:paraId="511ACB0F"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No</w:t>
            </w:r>
          </w:p>
        </w:tc>
      </w:tr>
      <w:tr w:rsidR="00F64CF8" w:rsidRPr="00BE00EF" w14:paraId="4FF994D9" w14:textId="77777777" w:rsidTr="5041091D">
        <w:tc>
          <w:tcPr>
            <w:tcW w:w="1560" w:type="dxa"/>
          </w:tcPr>
          <w:p w14:paraId="64BBBB86"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SA River Murray</w:t>
            </w:r>
          </w:p>
        </w:tc>
        <w:tc>
          <w:tcPr>
            <w:tcW w:w="1134" w:type="dxa"/>
            <w:shd w:val="clear" w:color="auto" w:fill="FFEAA7"/>
          </w:tcPr>
          <w:p w14:paraId="03942146" w14:textId="7F629876" w:rsidR="00F64CF8" w:rsidRPr="00BE00EF" w:rsidRDefault="00BD1C27" w:rsidP="00BE00EF">
            <w:pPr>
              <w:rPr>
                <w:rFonts w:ascii="Aptos" w:eastAsia="Aptos" w:hAnsi="Aptos" w:cs="Times New Roman"/>
                <w:sz w:val="20"/>
                <w:szCs w:val="20"/>
              </w:rPr>
            </w:pPr>
            <w:r>
              <w:rPr>
                <w:rFonts w:ascii="Aptos" w:eastAsia="Aptos" w:hAnsi="Aptos" w:cs="Times New Roman"/>
                <w:sz w:val="20"/>
                <w:szCs w:val="20"/>
              </w:rPr>
              <w:t>22.76</w:t>
            </w:r>
          </w:p>
        </w:tc>
        <w:tc>
          <w:tcPr>
            <w:tcW w:w="1418" w:type="dxa"/>
            <w:shd w:val="clear" w:color="auto" w:fill="D1D1D1"/>
          </w:tcPr>
          <w:p w14:paraId="1115E876" w14:textId="6147339E"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Unable to determine, further work required</w:t>
            </w:r>
          </w:p>
        </w:tc>
        <w:tc>
          <w:tcPr>
            <w:tcW w:w="1417" w:type="dxa"/>
            <w:shd w:val="clear" w:color="auto" w:fill="D9F2D0"/>
          </w:tcPr>
          <w:p w14:paraId="1083B61C"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Yes</w:t>
            </w:r>
          </w:p>
        </w:tc>
        <w:tc>
          <w:tcPr>
            <w:tcW w:w="1559" w:type="dxa"/>
            <w:shd w:val="clear" w:color="auto" w:fill="FAE2D5"/>
          </w:tcPr>
          <w:p w14:paraId="72CF34CD"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Flows and connectivity, ecosystem functions, native fish and waterbird</w:t>
            </w:r>
          </w:p>
        </w:tc>
        <w:tc>
          <w:tcPr>
            <w:tcW w:w="1418" w:type="dxa"/>
          </w:tcPr>
          <w:p w14:paraId="12297F28"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Pattern of flow (due to constraints) likely, sufficiency of flow also potential factor.</w:t>
            </w:r>
          </w:p>
        </w:tc>
        <w:tc>
          <w:tcPr>
            <w:tcW w:w="1276" w:type="dxa"/>
            <w:shd w:val="clear" w:color="auto" w:fill="FFFFFF" w:themeFill="background1"/>
          </w:tcPr>
          <w:p w14:paraId="5CFFDD8C"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 xml:space="preserve">3 + 1 change respectively (channel + Coorong / Lower Lakes assessments), already ‘more likely than not’ for SA River Murray and ‘about as likely or not’ for Coorong / Lower Lakes. </w:t>
            </w:r>
          </w:p>
        </w:tc>
        <w:tc>
          <w:tcPr>
            <w:tcW w:w="4252" w:type="dxa"/>
            <w:shd w:val="clear" w:color="auto" w:fill="DAE9F7"/>
          </w:tcPr>
          <w:p w14:paraId="5EE330A7"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Flow versus entitlement analysis for SA suggests on average 5% of flows (1969-2025) are available as entitlements</w:t>
            </w:r>
            <w:r w:rsidRPr="00BE00EF">
              <w:rPr>
                <w:rFonts w:ascii="Aptos" w:eastAsia="Aptos" w:hAnsi="Aptos" w:cs="Times New Roman"/>
                <w:sz w:val="20"/>
                <w:szCs w:val="20"/>
                <w:vertAlign w:val="superscript"/>
              </w:rPr>
              <w:footnoteReference w:id="14"/>
            </w:r>
            <w:r w:rsidRPr="00BE00EF">
              <w:rPr>
                <w:rFonts w:ascii="Aptos" w:eastAsia="Aptos" w:hAnsi="Aptos" w:cs="Times New Roman"/>
                <w:sz w:val="20"/>
                <w:szCs w:val="20"/>
              </w:rPr>
              <w:t>, indicating that water-sharing is not the issue and there is no case for further water recovery / SDL changes.</w:t>
            </w:r>
          </w:p>
          <w:p w14:paraId="4CCE6CFB" w14:textId="77777777" w:rsidR="00F64CF8" w:rsidRPr="00BE00EF" w:rsidRDefault="00F64CF8" w:rsidP="00BE00EF">
            <w:pPr>
              <w:rPr>
                <w:rFonts w:ascii="Aptos" w:eastAsia="Aptos" w:hAnsi="Aptos" w:cs="Times New Roman"/>
                <w:sz w:val="20"/>
                <w:szCs w:val="20"/>
              </w:rPr>
            </w:pPr>
          </w:p>
          <w:p w14:paraId="2637ABC2"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 xml:space="preserve">The objectives specified in the Basin-Wide Environmental Watering Strategy (a component of the Environmental Watering Plan) were developed in 2014, and since that time, there is new science that questions whether those objectives remain feasible, fit-for-purpose or reasonably achievable (and if so, at what cost). This must be reviewed, and realistic objectives identified, with a view to what remains plausible with climate futures, against triple-bottom-line objectives. </w:t>
            </w:r>
          </w:p>
          <w:p w14:paraId="40C4EB65" w14:textId="77777777" w:rsidR="00F64CF8" w:rsidRPr="00BE00EF" w:rsidRDefault="00F64CF8" w:rsidP="00BE00EF">
            <w:pPr>
              <w:rPr>
                <w:rFonts w:ascii="Aptos" w:eastAsia="Aptos" w:hAnsi="Aptos" w:cs="Times New Roman"/>
                <w:sz w:val="20"/>
                <w:szCs w:val="20"/>
              </w:rPr>
            </w:pPr>
          </w:p>
          <w:p w14:paraId="5D876B30"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For the SA River Murray Channel and Floodplain, the outcomes that improved from LoE1 to LoE2 were already ‘more likely than not’ at present. The drivers specify “</w:t>
            </w:r>
            <w:r w:rsidRPr="00BE00EF">
              <w:rPr>
                <w:rFonts w:ascii="Aptos" w:eastAsia="Aptos" w:hAnsi="Aptos" w:cs="Times New Roman"/>
                <w:i/>
                <w:iCs/>
                <w:sz w:val="20"/>
                <w:szCs w:val="20"/>
              </w:rPr>
              <w:t>flow constraints have limited overbank flows and lateral connectivity, preventing environmental water delivery to many wetland and floodplain ecosystems</w:t>
            </w:r>
            <w:r w:rsidRPr="00BE00EF">
              <w:rPr>
                <w:rFonts w:ascii="Aptos" w:eastAsia="Aptos" w:hAnsi="Aptos" w:cs="Times New Roman"/>
                <w:sz w:val="20"/>
                <w:szCs w:val="20"/>
              </w:rPr>
              <w:t xml:space="preserve">” – this would not change via SDL changes or further water recovery. </w:t>
            </w:r>
          </w:p>
          <w:p w14:paraId="2F28070D" w14:textId="77777777" w:rsidR="00F64CF8" w:rsidRPr="00BE00EF" w:rsidRDefault="00F64CF8" w:rsidP="00BE00EF">
            <w:pPr>
              <w:rPr>
                <w:rFonts w:ascii="Aptos" w:eastAsia="Aptos" w:hAnsi="Aptos" w:cs="Times New Roman"/>
                <w:sz w:val="20"/>
                <w:szCs w:val="20"/>
              </w:rPr>
            </w:pPr>
          </w:p>
          <w:p w14:paraId="2DA345CE"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 xml:space="preserve">For the CLLMM, only 1 theme changed from LoE1 to LoE2 from considerable further water recovery. Exploring alternative measures to achieve revised fit-for-purpose outcomes is needed. </w:t>
            </w:r>
          </w:p>
        </w:tc>
        <w:tc>
          <w:tcPr>
            <w:tcW w:w="992" w:type="dxa"/>
            <w:shd w:val="clear" w:color="auto" w:fill="0E2841"/>
          </w:tcPr>
          <w:p w14:paraId="6BB9BFA2"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No</w:t>
            </w:r>
          </w:p>
        </w:tc>
      </w:tr>
      <w:tr w:rsidR="00F64CF8" w:rsidRPr="00BE00EF" w14:paraId="37B16ADD" w14:textId="77777777" w:rsidTr="5041091D">
        <w:tc>
          <w:tcPr>
            <w:tcW w:w="1560" w:type="dxa"/>
            <w:tcBorders>
              <w:bottom w:val="single" w:sz="4" w:space="0" w:color="auto"/>
            </w:tcBorders>
          </w:tcPr>
          <w:p w14:paraId="20B97D40"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Vic Murray</w:t>
            </w:r>
          </w:p>
        </w:tc>
        <w:tc>
          <w:tcPr>
            <w:tcW w:w="1134" w:type="dxa"/>
            <w:shd w:val="clear" w:color="auto" w:fill="FFEAA7"/>
          </w:tcPr>
          <w:p w14:paraId="329E4311" w14:textId="1F2F2F04" w:rsidR="00F64CF8" w:rsidRPr="00BE00EF" w:rsidRDefault="00292D99" w:rsidP="00BE00EF">
            <w:pPr>
              <w:rPr>
                <w:rFonts w:ascii="Aptos" w:eastAsia="Aptos" w:hAnsi="Aptos" w:cs="Times New Roman"/>
                <w:sz w:val="20"/>
                <w:szCs w:val="20"/>
              </w:rPr>
            </w:pPr>
            <w:r>
              <w:rPr>
                <w:rFonts w:ascii="Aptos" w:eastAsia="Aptos" w:hAnsi="Aptos" w:cs="Times New Roman"/>
                <w:sz w:val="20"/>
                <w:szCs w:val="20"/>
              </w:rPr>
              <w:t>38.11</w:t>
            </w:r>
          </w:p>
        </w:tc>
        <w:tc>
          <w:tcPr>
            <w:tcW w:w="1418" w:type="dxa"/>
            <w:shd w:val="clear" w:color="auto" w:fill="D9F2D0"/>
          </w:tcPr>
          <w:p w14:paraId="0706D42C" w14:textId="2255049A"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Likely</w:t>
            </w:r>
          </w:p>
        </w:tc>
        <w:tc>
          <w:tcPr>
            <w:tcW w:w="1417" w:type="dxa"/>
            <w:shd w:val="clear" w:color="auto" w:fill="D9F2D0"/>
          </w:tcPr>
          <w:p w14:paraId="2C06603F"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Yes</w:t>
            </w:r>
          </w:p>
        </w:tc>
        <w:tc>
          <w:tcPr>
            <w:tcW w:w="1559" w:type="dxa"/>
            <w:shd w:val="clear" w:color="auto" w:fill="FAE2D5"/>
          </w:tcPr>
          <w:p w14:paraId="2419B608"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Flows and connectivity, ecosystem functions and native fish</w:t>
            </w:r>
          </w:p>
        </w:tc>
        <w:tc>
          <w:tcPr>
            <w:tcW w:w="1418" w:type="dxa"/>
          </w:tcPr>
          <w:p w14:paraId="09692654"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Pattern of flow (due to inability to deliver water onto floodplains)</w:t>
            </w:r>
          </w:p>
        </w:tc>
        <w:tc>
          <w:tcPr>
            <w:tcW w:w="1276" w:type="dxa"/>
            <w:shd w:val="clear" w:color="auto" w:fill="FFFFFF" w:themeFill="background1"/>
          </w:tcPr>
          <w:p w14:paraId="21F01AB1"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 xml:space="preserve">No change </w:t>
            </w:r>
          </w:p>
        </w:tc>
        <w:tc>
          <w:tcPr>
            <w:tcW w:w="4252" w:type="dxa"/>
            <w:shd w:val="clear" w:color="auto" w:fill="DAE9F7"/>
          </w:tcPr>
          <w:p w14:paraId="133CB84B"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MDBA analysis shows no change in environmental outcomes from further water recovery. Therefore, there is no case for further water recovery / SDL changes.</w:t>
            </w:r>
          </w:p>
        </w:tc>
        <w:tc>
          <w:tcPr>
            <w:tcW w:w="992" w:type="dxa"/>
            <w:shd w:val="clear" w:color="auto" w:fill="0E2841"/>
          </w:tcPr>
          <w:p w14:paraId="1B76CD5F"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No</w:t>
            </w:r>
          </w:p>
        </w:tc>
      </w:tr>
      <w:tr w:rsidR="00F64CF8" w:rsidRPr="00BE00EF" w14:paraId="0378F4EB" w14:textId="77777777" w:rsidTr="5041091D">
        <w:tc>
          <w:tcPr>
            <w:tcW w:w="1560" w:type="dxa"/>
            <w:tcBorders>
              <w:bottom w:val="nil"/>
            </w:tcBorders>
          </w:tcPr>
          <w:p w14:paraId="2C5D605A"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 xml:space="preserve">   Kiewa</w:t>
            </w:r>
          </w:p>
        </w:tc>
        <w:tc>
          <w:tcPr>
            <w:tcW w:w="1134" w:type="dxa"/>
            <w:shd w:val="clear" w:color="auto" w:fill="FFEAA7"/>
          </w:tcPr>
          <w:p w14:paraId="0503F562" w14:textId="6E62C7BE" w:rsidR="00F64CF8" w:rsidRPr="00BE00EF" w:rsidRDefault="00292D99" w:rsidP="00BE00EF">
            <w:pPr>
              <w:rPr>
                <w:rFonts w:ascii="Aptos" w:eastAsia="Aptos" w:hAnsi="Aptos" w:cs="Times New Roman"/>
                <w:sz w:val="20"/>
                <w:szCs w:val="20"/>
              </w:rPr>
            </w:pPr>
            <w:r>
              <w:rPr>
                <w:rFonts w:ascii="Aptos" w:eastAsia="Aptos" w:hAnsi="Aptos" w:cs="Times New Roman"/>
                <w:sz w:val="20"/>
                <w:szCs w:val="20"/>
              </w:rPr>
              <w:t>0.52</w:t>
            </w:r>
          </w:p>
        </w:tc>
        <w:tc>
          <w:tcPr>
            <w:tcW w:w="1418" w:type="dxa"/>
            <w:shd w:val="clear" w:color="auto" w:fill="4EA72E"/>
          </w:tcPr>
          <w:p w14:paraId="15461BCA" w14:textId="4C1CB9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Confident</w:t>
            </w:r>
          </w:p>
        </w:tc>
        <w:tc>
          <w:tcPr>
            <w:tcW w:w="1417" w:type="dxa"/>
            <w:shd w:val="clear" w:color="auto" w:fill="D9F2D0"/>
          </w:tcPr>
          <w:p w14:paraId="3DA4C59C"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Yes</w:t>
            </w:r>
          </w:p>
        </w:tc>
        <w:tc>
          <w:tcPr>
            <w:tcW w:w="1559" w:type="dxa"/>
            <w:shd w:val="clear" w:color="auto" w:fill="4EA72E"/>
          </w:tcPr>
          <w:p w14:paraId="60A67BE3"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Not at risk</w:t>
            </w:r>
          </w:p>
        </w:tc>
        <w:tc>
          <w:tcPr>
            <w:tcW w:w="1418" w:type="dxa"/>
            <w:shd w:val="clear" w:color="auto" w:fill="D1D1D1"/>
          </w:tcPr>
          <w:p w14:paraId="6DEB9CE3" w14:textId="77777777" w:rsidR="00F64CF8" w:rsidRPr="00BE00EF" w:rsidRDefault="00F64CF8" w:rsidP="00BE00EF">
            <w:pPr>
              <w:rPr>
                <w:rFonts w:ascii="Aptos" w:eastAsia="Aptos" w:hAnsi="Aptos" w:cs="Times New Roman"/>
                <w:sz w:val="20"/>
                <w:szCs w:val="20"/>
              </w:rPr>
            </w:pPr>
          </w:p>
        </w:tc>
        <w:tc>
          <w:tcPr>
            <w:tcW w:w="1276" w:type="dxa"/>
            <w:shd w:val="clear" w:color="auto" w:fill="FFFFFF" w:themeFill="background1"/>
          </w:tcPr>
          <w:p w14:paraId="02EEA01D"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N/A</w:t>
            </w:r>
            <w:r w:rsidRPr="00BE00EF">
              <w:rPr>
                <w:rFonts w:ascii="Aptos" w:eastAsia="Aptos" w:hAnsi="Aptos" w:cs="Times New Roman"/>
                <w:sz w:val="20"/>
                <w:szCs w:val="20"/>
                <w:vertAlign w:val="superscript"/>
              </w:rPr>
              <w:footnoteReference w:id="15"/>
            </w:r>
          </w:p>
        </w:tc>
        <w:tc>
          <w:tcPr>
            <w:tcW w:w="4252" w:type="dxa"/>
            <w:shd w:val="clear" w:color="auto" w:fill="DAE9F7"/>
          </w:tcPr>
          <w:p w14:paraId="17811E87"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MDBA analysis shows confidence in the SDL reflecting an ESLT, therefore no case for further water recovery / SDL changes.</w:t>
            </w:r>
          </w:p>
        </w:tc>
        <w:tc>
          <w:tcPr>
            <w:tcW w:w="992" w:type="dxa"/>
            <w:shd w:val="clear" w:color="auto" w:fill="0E2841"/>
          </w:tcPr>
          <w:p w14:paraId="4F7CD80B"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No</w:t>
            </w:r>
          </w:p>
        </w:tc>
      </w:tr>
      <w:tr w:rsidR="00F64CF8" w:rsidRPr="00BE00EF" w14:paraId="44BE845F" w14:textId="77777777" w:rsidTr="5041091D">
        <w:tc>
          <w:tcPr>
            <w:tcW w:w="1560" w:type="dxa"/>
            <w:tcBorders>
              <w:top w:val="nil"/>
            </w:tcBorders>
          </w:tcPr>
          <w:p w14:paraId="52588375"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 xml:space="preserve">   Ovens</w:t>
            </w:r>
          </w:p>
        </w:tc>
        <w:tc>
          <w:tcPr>
            <w:tcW w:w="1134" w:type="dxa"/>
            <w:shd w:val="clear" w:color="auto" w:fill="FFEAA7"/>
          </w:tcPr>
          <w:p w14:paraId="7FA715A1" w14:textId="53319EDD" w:rsidR="00F64CF8" w:rsidRPr="00BE00EF" w:rsidRDefault="00292D99" w:rsidP="00BE00EF">
            <w:pPr>
              <w:rPr>
                <w:rFonts w:ascii="Aptos" w:eastAsia="Aptos" w:hAnsi="Aptos" w:cs="Times New Roman"/>
                <w:sz w:val="20"/>
                <w:szCs w:val="20"/>
              </w:rPr>
            </w:pPr>
            <w:r>
              <w:rPr>
                <w:rFonts w:ascii="Aptos" w:eastAsia="Aptos" w:hAnsi="Aptos" w:cs="Times New Roman"/>
                <w:sz w:val="20"/>
                <w:szCs w:val="20"/>
              </w:rPr>
              <w:t>1.22</w:t>
            </w:r>
          </w:p>
        </w:tc>
        <w:tc>
          <w:tcPr>
            <w:tcW w:w="1418" w:type="dxa"/>
            <w:shd w:val="clear" w:color="auto" w:fill="4EA72E"/>
          </w:tcPr>
          <w:p w14:paraId="28B8002A" w14:textId="46211ECA"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Confident</w:t>
            </w:r>
          </w:p>
        </w:tc>
        <w:tc>
          <w:tcPr>
            <w:tcW w:w="1417" w:type="dxa"/>
            <w:shd w:val="clear" w:color="auto" w:fill="D9F2D0"/>
          </w:tcPr>
          <w:p w14:paraId="35EB0ADF"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Yes</w:t>
            </w:r>
          </w:p>
        </w:tc>
        <w:tc>
          <w:tcPr>
            <w:tcW w:w="1559" w:type="dxa"/>
            <w:shd w:val="clear" w:color="auto" w:fill="4EA72E"/>
          </w:tcPr>
          <w:p w14:paraId="2C3A5CC6"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Not at risk</w:t>
            </w:r>
          </w:p>
        </w:tc>
        <w:tc>
          <w:tcPr>
            <w:tcW w:w="1418" w:type="dxa"/>
            <w:shd w:val="clear" w:color="auto" w:fill="D1D1D1"/>
          </w:tcPr>
          <w:p w14:paraId="5605D61F" w14:textId="77777777" w:rsidR="00F64CF8" w:rsidRPr="00BE00EF" w:rsidRDefault="00F64CF8" w:rsidP="00BE00EF">
            <w:pPr>
              <w:rPr>
                <w:rFonts w:ascii="Aptos" w:eastAsia="Aptos" w:hAnsi="Aptos" w:cs="Times New Roman"/>
                <w:sz w:val="20"/>
                <w:szCs w:val="20"/>
              </w:rPr>
            </w:pPr>
          </w:p>
        </w:tc>
        <w:tc>
          <w:tcPr>
            <w:tcW w:w="1276" w:type="dxa"/>
            <w:shd w:val="clear" w:color="auto" w:fill="FFFFFF" w:themeFill="background1"/>
          </w:tcPr>
          <w:p w14:paraId="38F433F6"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N/A</w:t>
            </w:r>
            <w:r w:rsidRPr="00BE00EF">
              <w:rPr>
                <w:rFonts w:ascii="Aptos" w:eastAsia="Aptos" w:hAnsi="Aptos" w:cs="Times New Roman"/>
                <w:sz w:val="20"/>
                <w:szCs w:val="20"/>
                <w:vertAlign w:val="superscript"/>
              </w:rPr>
              <w:footnoteReference w:id="16"/>
            </w:r>
          </w:p>
        </w:tc>
        <w:tc>
          <w:tcPr>
            <w:tcW w:w="4252" w:type="dxa"/>
            <w:shd w:val="clear" w:color="auto" w:fill="DAE9F7"/>
          </w:tcPr>
          <w:p w14:paraId="0B7A2FE6"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MDBA analysis shows confidence in the SDL reflecting an ESLT, therefore no case for further water recovery / SDL changes.</w:t>
            </w:r>
          </w:p>
        </w:tc>
        <w:tc>
          <w:tcPr>
            <w:tcW w:w="992" w:type="dxa"/>
            <w:shd w:val="clear" w:color="auto" w:fill="0E2841"/>
          </w:tcPr>
          <w:p w14:paraId="698C41A0"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No</w:t>
            </w:r>
          </w:p>
        </w:tc>
      </w:tr>
      <w:tr w:rsidR="00F64CF8" w:rsidRPr="00BE00EF" w14:paraId="3161A78D" w14:textId="77777777" w:rsidTr="5041091D">
        <w:tc>
          <w:tcPr>
            <w:tcW w:w="1560" w:type="dxa"/>
          </w:tcPr>
          <w:p w14:paraId="5BE903E8"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 xml:space="preserve">   Broken</w:t>
            </w:r>
          </w:p>
        </w:tc>
        <w:tc>
          <w:tcPr>
            <w:tcW w:w="1134" w:type="dxa"/>
            <w:shd w:val="clear" w:color="auto" w:fill="FFEAA7"/>
          </w:tcPr>
          <w:p w14:paraId="404828EF" w14:textId="008E4501" w:rsidR="00F64CF8" w:rsidRPr="00BE00EF" w:rsidRDefault="00AD02FE" w:rsidP="00BE00EF">
            <w:pPr>
              <w:rPr>
                <w:rFonts w:ascii="Aptos" w:eastAsia="Aptos" w:hAnsi="Aptos" w:cs="Times New Roman"/>
                <w:sz w:val="20"/>
                <w:szCs w:val="20"/>
              </w:rPr>
            </w:pPr>
            <w:r>
              <w:rPr>
                <w:rFonts w:ascii="Aptos" w:eastAsia="Aptos" w:hAnsi="Aptos" w:cs="Times New Roman"/>
                <w:sz w:val="20"/>
                <w:szCs w:val="20"/>
              </w:rPr>
              <w:t>0.44</w:t>
            </w:r>
          </w:p>
        </w:tc>
        <w:tc>
          <w:tcPr>
            <w:tcW w:w="1418" w:type="dxa"/>
            <w:shd w:val="clear" w:color="auto" w:fill="4EA72E"/>
          </w:tcPr>
          <w:p w14:paraId="1547BB7E" w14:textId="1CCB59FE"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Confident</w:t>
            </w:r>
          </w:p>
        </w:tc>
        <w:tc>
          <w:tcPr>
            <w:tcW w:w="1417" w:type="dxa"/>
            <w:shd w:val="clear" w:color="auto" w:fill="D9F2D0"/>
          </w:tcPr>
          <w:p w14:paraId="7BF08CF0"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Yes</w:t>
            </w:r>
          </w:p>
        </w:tc>
        <w:tc>
          <w:tcPr>
            <w:tcW w:w="1559" w:type="dxa"/>
            <w:shd w:val="clear" w:color="auto" w:fill="4EA72E"/>
          </w:tcPr>
          <w:p w14:paraId="1AF79E98"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Not at risk</w:t>
            </w:r>
          </w:p>
        </w:tc>
        <w:tc>
          <w:tcPr>
            <w:tcW w:w="1418" w:type="dxa"/>
            <w:shd w:val="clear" w:color="auto" w:fill="D1D1D1"/>
          </w:tcPr>
          <w:p w14:paraId="288BE81D" w14:textId="77777777" w:rsidR="00F64CF8" w:rsidRPr="00BE00EF" w:rsidRDefault="00F64CF8" w:rsidP="00BE00EF">
            <w:pPr>
              <w:rPr>
                <w:rFonts w:ascii="Aptos" w:eastAsia="Aptos" w:hAnsi="Aptos" w:cs="Times New Roman"/>
                <w:sz w:val="20"/>
                <w:szCs w:val="20"/>
              </w:rPr>
            </w:pPr>
          </w:p>
        </w:tc>
        <w:tc>
          <w:tcPr>
            <w:tcW w:w="1276" w:type="dxa"/>
            <w:shd w:val="clear" w:color="auto" w:fill="FFFFFF" w:themeFill="background1"/>
          </w:tcPr>
          <w:p w14:paraId="1A547189"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 xml:space="preserve">No change </w:t>
            </w:r>
          </w:p>
        </w:tc>
        <w:tc>
          <w:tcPr>
            <w:tcW w:w="4252" w:type="dxa"/>
            <w:shd w:val="clear" w:color="auto" w:fill="DAE9F7"/>
          </w:tcPr>
          <w:p w14:paraId="349455CF"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MDBA analysis shows confidence in the SDL reflecting an ESLT, therefore no case for further water recovery / SDL changes.</w:t>
            </w:r>
          </w:p>
        </w:tc>
        <w:tc>
          <w:tcPr>
            <w:tcW w:w="992" w:type="dxa"/>
            <w:shd w:val="clear" w:color="auto" w:fill="0E2841"/>
          </w:tcPr>
          <w:p w14:paraId="39ACB327"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No</w:t>
            </w:r>
          </w:p>
        </w:tc>
      </w:tr>
      <w:tr w:rsidR="00F64CF8" w:rsidRPr="00BE00EF" w14:paraId="785048AD" w14:textId="77777777" w:rsidTr="5041091D">
        <w:tc>
          <w:tcPr>
            <w:tcW w:w="1560" w:type="dxa"/>
          </w:tcPr>
          <w:p w14:paraId="0A659189"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 xml:space="preserve">   Goulburn</w:t>
            </w:r>
          </w:p>
        </w:tc>
        <w:tc>
          <w:tcPr>
            <w:tcW w:w="1134" w:type="dxa"/>
            <w:shd w:val="clear" w:color="auto" w:fill="FFEAA7"/>
          </w:tcPr>
          <w:p w14:paraId="2CDB7B27" w14:textId="01CF1FAE" w:rsidR="00F64CF8" w:rsidRPr="00BE00EF" w:rsidRDefault="00AD02FE" w:rsidP="00BE00EF">
            <w:pPr>
              <w:rPr>
                <w:rFonts w:ascii="Aptos" w:eastAsia="Aptos" w:hAnsi="Aptos" w:cs="Times New Roman"/>
                <w:sz w:val="20"/>
                <w:szCs w:val="20"/>
              </w:rPr>
            </w:pPr>
            <w:r>
              <w:rPr>
                <w:rFonts w:ascii="Aptos" w:eastAsia="Aptos" w:hAnsi="Aptos" w:cs="Times New Roman"/>
                <w:sz w:val="20"/>
                <w:szCs w:val="20"/>
              </w:rPr>
              <w:t>70.83</w:t>
            </w:r>
          </w:p>
        </w:tc>
        <w:tc>
          <w:tcPr>
            <w:tcW w:w="1418" w:type="dxa"/>
            <w:shd w:val="clear" w:color="auto" w:fill="D9F2D0"/>
          </w:tcPr>
          <w:p w14:paraId="758CE8EB" w14:textId="198F6326"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 xml:space="preserve">Likely </w:t>
            </w:r>
          </w:p>
        </w:tc>
        <w:tc>
          <w:tcPr>
            <w:tcW w:w="1417" w:type="dxa"/>
            <w:shd w:val="clear" w:color="auto" w:fill="D9F2D0"/>
          </w:tcPr>
          <w:p w14:paraId="39D06965"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Yes</w:t>
            </w:r>
          </w:p>
        </w:tc>
        <w:tc>
          <w:tcPr>
            <w:tcW w:w="1559" w:type="dxa"/>
            <w:shd w:val="clear" w:color="auto" w:fill="FAE2D5"/>
          </w:tcPr>
          <w:p w14:paraId="34FDAE87"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Flows and connectivity, ecosystem functions and native vegetation</w:t>
            </w:r>
          </w:p>
        </w:tc>
        <w:tc>
          <w:tcPr>
            <w:tcW w:w="1418" w:type="dxa"/>
          </w:tcPr>
          <w:p w14:paraId="031D3F59"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Pattern of flow (inability to deliver higher in-channel flows and water to the floodplain in the lower Goulburn River)</w:t>
            </w:r>
          </w:p>
        </w:tc>
        <w:tc>
          <w:tcPr>
            <w:tcW w:w="1276" w:type="dxa"/>
            <w:shd w:val="clear" w:color="auto" w:fill="FFFFFF" w:themeFill="background1"/>
          </w:tcPr>
          <w:p w14:paraId="1413E5B1"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 xml:space="preserve">No change </w:t>
            </w:r>
          </w:p>
        </w:tc>
        <w:tc>
          <w:tcPr>
            <w:tcW w:w="4252" w:type="dxa"/>
            <w:shd w:val="clear" w:color="auto" w:fill="DAE9F7"/>
          </w:tcPr>
          <w:p w14:paraId="5A5F7F28"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MDBA analysis shows no change in environmental outcomes from further water recovery. Therefore, there is no case for further water recovery / SDL changes.</w:t>
            </w:r>
          </w:p>
        </w:tc>
        <w:tc>
          <w:tcPr>
            <w:tcW w:w="992" w:type="dxa"/>
            <w:shd w:val="clear" w:color="auto" w:fill="0E2841"/>
          </w:tcPr>
          <w:p w14:paraId="1C9E19CB"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No</w:t>
            </w:r>
          </w:p>
        </w:tc>
      </w:tr>
      <w:tr w:rsidR="00F64CF8" w:rsidRPr="00BE00EF" w14:paraId="5A9E7578" w14:textId="77777777" w:rsidTr="5041091D">
        <w:tc>
          <w:tcPr>
            <w:tcW w:w="1560" w:type="dxa"/>
          </w:tcPr>
          <w:p w14:paraId="3B00FD13"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 xml:space="preserve">   Campaspe</w:t>
            </w:r>
          </w:p>
        </w:tc>
        <w:tc>
          <w:tcPr>
            <w:tcW w:w="1134" w:type="dxa"/>
            <w:shd w:val="clear" w:color="auto" w:fill="FFEAA7"/>
          </w:tcPr>
          <w:p w14:paraId="19691961" w14:textId="454EB3F3" w:rsidR="00F64CF8" w:rsidRPr="00BE00EF" w:rsidRDefault="00AD02FE" w:rsidP="00BE00EF">
            <w:pPr>
              <w:rPr>
                <w:rFonts w:ascii="Aptos" w:eastAsia="Aptos" w:hAnsi="Aptos" w:cs="Times New Roman"/>
                <w:sz w:val="20"/>
                <w:szCs w:val="20"/>
              </w:rPr>
            </w:pPr>
            <w:r>
              <w:rPr>
                <w:rFonts w:ascii="Aptos" w:eastAsia="Aptos" w:hAnsi="Aptos" w:cs="Times New Roman"/>
                <w:sz w:val="20"/>
                <w:szCs w:val="20"/>
              </w:rPr>
              <w:t>1.06</w:t>
            </w:r>
          </w:p>
        </w:tc>
        <w:tc>
          <w:tcPr>
            <w:tcW w:w="1418" w:type="dxa"/>
            <w:shd w:val="clear" w:color="auto" w:fill="4EA72E"/>
          </w:tcPr>
          <w:p w14:paraId="2FF98EDB" w14:textId="54B75C9F"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Confident</w:t>
            </w:r>
          </w:p>
        </w:tc>
        <w:tc>
          <w:tcPr>
            <w:tcW w:w="1417" w:type="dxa"/>
            <w:shd w:val="clear" w:color="auto" w:fill="D9F2D0"/>
          </w:tcPr>
          <w:p w14:paraId="13EA2FF1"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Yes</w:t>
            </w:r>
          </w:p>
        </w:tc>
        <w:tc>
          <w:tcPr>
            <w:tcW w:w="1559" w:type="dxa"/>
            <w:shd w:val="clear" w:color="auto" w:fill="4EA72E"/>
          </w:tcPr>
          <w:p w14:paraId="560DD36F"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Not at risk</w:t>
            </w:r>
          </w:p>
        </w:tc>
        <w:tc>
          <w:tcPr>
            <w:tcW w:w="1418" w:type="dxa"/>
            <w:shd w:val="clear" w:color="auto" w:fill="D1D1D1"/>
          </w:tcPr>
          <w:p w14:paraId="6B753358" w14:textId="77777777" w:rsidR="00F64CF8" w:rsidRPr="00BE00EF" w:rsidRDefault="00F64CF8" w:rsidP="00BE00EF">
            <w:pPr>
              <w:rPr>
                <w:rFonts w:ascii="Aptos" w:eastAsia="Aptos" w:hAnsi="Aptos" w:cs="Times New Roman"/>
                <w:sz w:val="20"/>
                <w:szCs w:val="20"/>
              </w:rPr>
            </w:pPr>
          </w:p>
        </w:tc>
        <w:tc>
          <w:tcPr>
            <w:tcW w:w="1276" w:type="dxa"/>
            <w:shd w:val="clear" w:color="auto" w:fill="FFFFFF" w:themeFill="background1"/>
          </w:tcPr>
          <w:p w14:paraId="0A3FB800"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No change</w:t>
            </w:r>
          </w:p>
        </w:tc>
        <w:tc>
          <w:tcPr>
            <w:tcW w:w="4252" w:type="dxa"/>
            <w:shd w:val="clear" w:color="auto" w:fill="DAE9F7"/>
          </w:tcPr>
          <w:p w14:paraId="49828362"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MDBA analysis shows confidence in the SDL reflecting an ESLT, therefore no case for further water recovery / SDL changes.</w:t>
            </w:r>
          </w:p>
        </w:tc>
        <w:tc>
          <w:tcPr>
            <w:tcW w:w="992" w:type="dxa"/>
            <w:shd w:val="clear" w:color="auto" w:fill="0E2841"/>
          </w:tcPr>
          <w:p w14:paraId="2EF726F6"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No</w:t>
            </w:r>
          </w:p>
        </w:tc>
      </w:tr>
      <w:tr w:rsidR="00F64CF8" w:rsidRPr="00BE00EF" w14:paraId="489BB9BE" w14:textId="77777777" w:rsidTr="5041091D">
        <w:tc>
          <w:tcPr>
            <w:tcW w:w="1560" w:type="dxa"/>
          </w:tcPr>
          <w:p w14:paraId="0C0D6F16"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 xml:space="preserve">   Loddon</w:t>
            </w:r>
          </w:p>
        </w:tc>
        <w:tc>
          <w:tcPr>
            <w:tcW w:w="1134" w:type="dxa"/>
            <w:shd w:val="clear" w:color="auto" w:fill="FFEAA7"/>
          </w:tcPr>
          <w:p w14:paraId="04D26510" w14:textId="257DF442" w:rsidR="00F64CF8" w:rsidRPr="00BE00EF" w:rsidRDefault="00AD02FE" w:rsidP="00BE00EF">
            <w:pPr>
              <w:rPr>
                <w:rFonts w:ascii="Aptos" w:eastAsia="Aptos" w:hAnsi="Aptos" w:cs="Times New Roman"/>
                <w:sz w:val="20"/>
                <w:szCs w:val="20"/>
              </w:rPr>
            </w:pPr>
            <w:r>
              <w:rPr>
                <w:rFonts w:ascii="Aptos" w:eastAsia="Aptos" w:hAnsi="Aptos" w:cs="Times New Roman"/>
                <w:sz w:val="20"/>
                <w:szCs w:val="20"/>
              </w:rPr>
              <w:t>4.42</w:t>
            </w:r>
          </w:p>
        </w:tc>
        <w:tc>
          <w:tcPr>
            <w:tcW w:w="1418" w:type="dxa"/>
            <w:shd w:val="clear" w:color="auto" w:fill="4EA72E"/>
          </w:tcPr>
          <w:p w14:paraId="7A6B6772" w14:textId="39441B26"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Confident</w:t>
            </w:r>
          </w:p>
        </w:tc>
        <w:tc>
          <w:tcPr>
            <w:tcW w:w="1417" w:type="dxa"/>
            <w:shd w:val="clear" w:color="auto" w:fill="D9F2D0"/>
          </w:tcPr>
          <w:p w14:paraId="056C730F"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Yes</w:t>
            </w:r>
          </w:p>
        </w:tc>
        <w:tc>
          <w:tcPr>
            <w:tcW w:w="1559" w:type="dxa"/>
            <w:shd w:val="clear" w:color="auto" w:fill="4EA72E"/>
          </w:tcPr>
          <w:p w14:paraId="47191076"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Not at risk</w:t>
            </w:r>
          </w:p>
        </w:tc>
        <w:tc>
          <w:tcPr>
            <w:tcW w:w="1418" w:type="dxa"/>
            <w:shd w:val="clear" w:color="auto" w:fill="D1D1D1"/>
          </w:tcPr>
          <w:p w14:paraId="27994DC5" w14:textId="77777777" w:rsidR="00F64CF8" w:rsidRPr="00BE00EF" w:rsidRDefault="00F64CF8" w:rsidP="00BE00EF">
            <w:pPr>
              <w:rPr>
                <w:rFonts w:ascii="Aptos" w:eastAsia="Aptos" w:hAnsi="Aptos" w:cs="Times New Roman"/>
                <w:sz w:val="20"/>
                <w:szCs w:val="20"/>
              </w:rPr>
            </w:pPr>
          </w:p>
        </w:tc>
        <w:tc>
          <w:tcPr>
            <w:tcW w:w="1276" w:type="dxa"/>
            <w:shd w:val="clear" w:color="auto" w:fill="FFFFFF" w:themeFill="background1"/>
          </w:tcPr>
          <w:p w14:paraId="3F493C4F"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 xml:space="preserve">No change </w:t>
            </w:r>
          </w:p>
        </w:tc>
        <w:tc>
          <w:tcPr>
            <w:tcW w:w="4252" w:type="dxa"/>
            <w:shd w:val="clear" w:color="auto" w:fill="DAE9F7"/>
          </w:tcPr>
          <w:p w14:paraId="779B6FF2" w14:textId="77777777" w:rsidR="00F64CF8" w:rsidRPr="00BE00EF" w:rsidRDefault="00F64CF8" w:rsidP="00BE00EF">
            <w:pPr>
              <w:rPr>
                <w:rFonts w:ascii="Aptos" w:eastAsia="Aptos" w:hAnsi="Aptos" w:cs="Times New Roman"/>
                <w:sz w:val="20"/>
                <w:szCs w:val="20"/>
              </w:rPr>
            </w:pPr>
            <w:r w:rsidRPr="00BE00EF">
              <w:rPr>
                <w:rFonts w:ascii="Aptos" w:eastAsia="Aptos" w:hAnsi="Aptos" w:cs="Times New Roman"/>
                <w:sz w:val="20"/>
                <w:szCs w:val="20"/>
              </w:rPr>
              <w:t>MDBA analysis shows confidence in the SDL reflecting an ESLT, therefore no case for further water recovery / SDL changes.</w:t>
            </w:r>
          </w:p>
        </w:tc>
        <w:tc>
          <w:tcPr>
            <w:tcW w:w="992" w:type="dxa"/>
            <w:shd w:val="clear" w:color="auto" w:fill="0E2841"/>
          </w:tcPr>
          <w:p w14:paraId="2122A189" w14:textId="77777777" w:rsidR="00F64CF8" w:rsidRPr="00BE00EF" w:rsidRDefault="00F64CF8" w:rsidP="00BE00EF">
            <w:pPr>
              <w:rPr>
                <w:rFonts w:ascii="Aptos" w:eastAsia="Aptos" w:hAnsi="Aptos" w:cs="Times New Roman"/>
                <w:b/>
                <w:sz w:val="20"/>
                <w:szCs w:val="20"/>
              </w:rPr>
            </w:pPr>
            <w:r w:rsidRPr="00BE00EF">
              <w:rPr>
                <w:rFonts w:ascii="Aptos" w:eastAsia="Aptos" w:hAnsi="Aptos" w:cs="Times New Roman"/>
                <w:b/>
                <w:sz w:val="20"/>
                <w:szCs w:val="20"/>
              </w:rPr>
              <w:t>No</w:t>
            </w:r>
          </w:p>
        </w:tc>
      </w:tr>
    </w:tbl>
    <w:p w14:paraId="38427E67" w14:textId="77777777" w:rsidR="002B7CD5" w:rsidRDefault="002B7CD5" w:rsidP="00BE00EF">
      <w:pPr>
        <w:rPr>
          <w:rFonts w:ascii="Aptos" w:eastAsia="Aptos" w:hAnsi="Aptos" w:cs="Times New Roman"/>
          <w:i/>
          <w:iCs/>
        </w:rPr>
        <w:sectPr w:rsidR="002B7CD5" w:rsidSect="00911A1E">
          <w:pgSz w:w="16838" w:h="11906" w:orient="landscape"/>
          <w:pgMar w:top="1440" w:right="1440" w:bottom="1440" w:left="1440" w:header="708" w:footer="708" w:gutter="0"/>
          <w:cols w:space="708"/>
          <w:titlePg/>
          <w:docGrid w:linePitch="360"/>
        </w:sectPr>
      </w:pPr>
    </w:p>
    <w:p w14:paraId="43574BF5" w14:textId="77777777" w:rsidR="00BE00EF" w:rsidRPr="00BE00EF" w:rsidRDefault="00BE00EF" w:rsidP="00BE00EF">
      <w:pPr>
        <w:rPr>
          <w:rFonts w:ascii="Aptos" w:eastAsia="Aptos" w:hAnsi="Aptos" w:cs="Times New Roman"/>
          <w:i/>
          <w:iCs/>
        </w:rPr>
      </w:pPr>
    </w:p>
    <w:p w14:paraId="34474E65" w14:textId="4D61E9AF" w:rsidR="000667AE" w:rsidRDefault="000E2A14" w:rsidP="00AF41F4">
      <w:pPr>
        <w:jc w:val="both"/>
      </w:pPr>
      <w:r>
        <w:t xml:space="preserve">Based on the information in Table 6, there is a critical need to </w:t>
      </w:r>
      <w:r w:rsidR="00AF41F4">
        <w:t>re</w:t>
      </w:r>
      <w:r>
        <w:t xml:space="preserve">consider the value of the SDLAM Reconciliation, and potential Government responses to it, in the context of </w:t>
      </w:r>
      <w:r w:rsidR="0094650A">
        <w:t>today’s</w:t>
      </w:r>
      <w:r>
        <w:t xml:space="preserve"> evidence-base on environmental needs</w:t>
      </w:r>
      <w:r w:rsidR="008C7604">
        <w:t xml:space="preserve"> and risks in the Basin. If </w:t>
      </w:r>
      <w:r w:rsidR="0094650A">
        <w:t>decision-makers</w:t>
      </w:r>
      <w:r w:rsidR="008C7604">
        <w:t xml:space="preserve"> were to start fresh, based purely on todays’ environment and science, there is no case for further water recovery. It will be critical for the MDBA to consider if SDLAM</w:t>
      </w:r>
      <w:r w:rsidR="00C91F34">
        <w:t xml:space="preserve"> -</w:t>
      </w:r>
      <w:r w:rsidR="008C7604">
        <w:t xml:space="preserve"> </w:t>
      </w:r>
      <w:r w:rsidR="00C91F34">
        <w:t xml:space="preserve">as an SDL adjustment mechanism - (and further water recovery generally) </w:t>
      </w:r>
      <w:r w:rsidR="008C7604">
        <w:t>has become a</w:t>
      </w:r>
      <w:r w:rsidR="00C91F34">
        <w:t>n outdated legacy issue.</w:t>
      </w:r>
      <w:r w:rsidR="00CD5D50">
        <w:t xml:space="preserve"> This of course recognises that many of the projects under SDLAM (particularly constraints</w:t>
      </w:r>
      <w:r w:rsidR="00AF41F4">
        <w:t xml:space="preserve"> management in some form</w:t>
      </w:r>
      <w:r w:rsidR="00CD5D50">
        <w:t xml:space="preserve">) </w:t>
      </w:r>
      <w:r w:rsidR="00413A8F">
        <w:t>remains</w:t>
      </w:r>
      <w:r w:rsidR="00CD5D50">
        <w:t xml:space="preserve"> important </w:t>
      </w:r>
      <w:r w:rsidR="0045267E">
        <w:t xml:space="preserve">for achieving environmental outcomes in their own right – rather than </w:t>
      </w:r>
      <w:r w:rsidR="00E81E1A">
        <w:t xml:space="preserve">just </w:t>
      </w:r>
      <w:r w:rsidR="0045267E">
        <w:t xml:space="preserve">as an offset, or SDL adjustment. </w:t>
      </w:r>
    </w:p>
    <w:p w14:paraId="14E8C7A7" w14:textId="432FBA8A" w:rsidR="00BB489B" w:rsidRDefault="00C609D3" w:rsidP="00AF41F4">
      <w:pPr>
        <w:jc w:val="both"/>
      </w:pPr>
      <w:r>
        <w:t>The focus on volumetric equivalen</w:t>
      </w:r>
      <w:r w:rsidR="000667AE">
        <w:t>ce</w:t>
      </w:r>
      <w:r>
        <w:t xml:space="preserve"> </w:t>
      </w:r>
      <w:r w:rsidR="000667AE">
        <w:t xml:space="preserve">should be critiqued as part of this, noting these projects have significant environmental importance on their own merits, that cannot be substituted for further water recovery. </w:t>
      </w:r>
    </w:p>
    <w:p w14:paraId="525F739A" w14:textId="134AF65B" w:rsidR="00BB489B" w:rsidRDefault="00E81E1A" w:rsidP="00C76B16">
      <w:pPr>
        <w:jc w:val="center"/>
        <w:rPr>
          <w:b/>
          <w:bCs/>
          <w:i/>
          <w:iCs/>
          <w:color w:val="00538F" w:themeColor="accent1" w:themeShade="BF"/>
        </w:rPr>
      </w:pPr>
      <w:r w:rsidRPr="00E9306E">
        <w:rPr>
          <w:b/>
          <w:bCs/>
          <w:i/>
          <w:iCs/>
          <w:color w:val="00538F" w:themeColor="accent1" w:themeShade="BF"/>
        </w:rPr>
        <w:t>Finding</w:t>
      </w:r>
      <w:r>
        <w:rPr>
          <w:b/>
          <w:bCs/>
          <w:i/>
          <w:iCs/>
          <w:color w:val="00538F" w:themeColor="accent1" w:themeShade="BF"/>
        </w:rPr>
        <w:t xml:space="preserve"> </w:t>
      </w:r>
      <w:r w:rsidR="007452BD">
        <w:rPr>
          <w:b/>
          <w:bCs/>
          <w:i/>
          <w:iCs/>
          <w:color w:val="00538F" w:themeColor="accent1" w:themeShade="BF"/>
        </w:rPr>
        <w:t>11</w:t>
      </w:r>
      <w:r w:rsidRPr="00E9306E">
        <w:rPr>
          <w:b/>
          <w:bCs/>
          <w:i/>
          <w:iCs/>
          <w:color w:val="00538F" w:themeColor="accent1" w:themeShade="BF"/>
        </w:rPr>
        <w:t xml:space="preserve">: </w:t>
      </w:r>
      <w:r w:rsidRPr="00E04764">
        <w:rPr>
          <w:b/>
          <w:bCs/>
          <w:i/>
          <w:iCs/>
          <w:color w:val="00538F" w:themeColor="accent1" w:themeShade="BF"/>
        </w:rPr>
        <w:t>The</w:t>
      </w:r>
      <w:r>
        <w:rPr>
          <w:b/>
          <w:bCs/>
          <w:i/>
          <w:iCs/>
          <w:color w:val="00538F" w:themeColor="accent1" w:themeShade="BF"/>
        </w:rPr>
        <w:t xml:space="preserve"> environmental priorities in the Basin have substantially shifted since SDLAM was designed</w:t>
      </w:r>
      <w:r w:rsidR="00763B61">
        <w:rPr>
          <w:b/>
          <w:bCs/>
          <w:i/>
          <w:iCs/>
          <w:color w:val="00538F" w:themeColor="accent1" w:themeShade="BF"/>
        </w:rPr>
        <w:t xml:space="preserve">. Further water recovery or SDL adjustment will not deliver the environmental outcomes required. </w:t>
      </w:r>
    </w:p>
    <w:p w14:paraId="4698E11F" w14:textId="62A18E74" w:rsidR="00AD68BF" w:rsidRPr="00432B5A" w:rsidRDefault="00C76B16" w:rsidP="00432B5A">
      <w:pPr>
        <w:jc w:val="center"/>
        <w:rPr>
          <w:b/>
          <w:bCs/>
          <w:i/>
          <w:iCs/>
          <w:color w:val="00538F" w:themeColor="accent1" w:themeShade="BF"/>
        </w:rPr>
      </w:pPr>
      <w:r>
        <w:rPr>
          <w:b/>
          <w:bCs/>
          <w:i/>
          <w:iCs/>
          <w:color w:val="00538F" w:themeColor="accent1" w:themeShade="BF"/>
        </w:rPr>
        <w:t>Recommendation</w:t>
      </w:r>
      <w:r w:rsidRPr="00E9306E">
        <w:rPr>
          <w:b/>
          <w:bCs/>
          <w:i/>
          <w:iCs/>
          <w:color w:val="00538F" w:themeColor="accent1" w:themeShade="BF"/>
        </w:rPr>
        <w:t xml:space="preserve"> </w:t>
      </w:r>
      <w:r w:rsidR="00A41E90">
        <w:rPr>
          <w:b/>
          <w:bCs/>
          <w:i/>
          <w:iCs/>
          <w:color w:val="00538F" w:themeColor="accent1" w:themeShade="BF"/>
        </w:rPr>
        <w:t>5</w:t>
      </w:r>
      <w:r w:rsidRPr="00E9306E">
        <w:rPr>
          <w:b/>
          <w:bCs/>
          <w:i/>
          <w:iCs/>
          <w:color w:val="00538F" w:themeColor="accent1" w:themeShade="BF"/>
        </w:rPr>
        <w:t>:</w:t>
      </w:r>
      <w:r>
        <w:rPr>
          <w:b/>
          <w:bCs/>
          <w:i/>
          <w:iCs/>
          <w:color w:val="00538F" w:themeColor="accent1" w:themeShade="BF"/>
        </w:rPr>
        <w:t xml:space="preserve"> </w:t>
      </w:r>
      <w:r w:rsidR="00604F29">
        <w:rPr>
          <w:b/>
          <w:bCs/>
          <w:i/>
          <w:iCs/>
          <w:color w:val="00538F" w:themeColor="accent1" w:themeShade="BF"/>
        </w:rPr>
        <w:t>Consider the SDLAM Reconciliation as a legacy issue, and as part of</w:t>
      </w:r>
      <w:r w:rsidR="004A2DB1">
        <w:rPr>
          <w:b/>
          <w:bCs/>
          <w:i/>
          <w:iCs/>
          <w:color w:val="00538F" w:themeColor="accent1" w:themeShade="BF"/>
        </w:rPr>
        <w:t xml:space="preserve"> the Basin Plan Review and Water Act Amendments in 2027, use the contemporary evidence-base to focus</w:t>
      </w:r>
      <w:r w:rsidR="00AD68BF">
        <w:rPr>
          <w:b/>
          <w:bCs/>
          <w:i/>
          <w:iCs/>
          <w:color w:val="00538F" w:themeColor="accent1" w:themeShade="BF"/>
        </w:rPr>
        <w:t xml:space="preserve"> instead</w:t>
      </w:r>
      <w:r w:rsidR="004A2DB1">
        <w:rPr>
          <w:b/>
          <w:bCs/>
          <w:i/>
          <w:iCs/>
          <w:color w:val="00538F" w:themeColor="accent1" w:themeShade="BF"/>
        </w:rPr>
        <w:t xml:space="preserve"> on projects (such as community supported constraints projects, and complementary measures)</w:t>
      </w:r>
      <w:r w:rsidR="00AD68BF">
        <w:rPr>
          <w:b/>
          <w:bCs/>
          <w:i/>
          <w:iCs/>
          <w:color w:val="00538F" w:themeColor="accent1" w:themeShade="BF"/>
        </w:rPr>
        <w:t xml:space="preserve">, with no further changes to current SDLs. </w:t>
      </w:r>
    </w:p>
    <w:p w14:paraId="19CE2F32" w14:textId="5F7ACE0E" w:rsidR="00745233" w:rsidRDefault="00745233" w:rsidP="00745233">
      <w:pPr>
        <w:pStyle w:val="Heading1"/>
      </w:pPr>
      <w:bookmarkStart w:id="18" w:name="_Toc243660160"/>
      <w:r>
        <w:t>Important projects to continue</w:t>
      </w:r>
      <w:bookmarkEnd w:id="18"/>
      <w:r>
        <w:t xml:space="preserve"> </w:t>
      </w:r>
    </w:p>
    <w:p w14:paraId="49EEDDD6" w14:textId="77777777" w:rsidR="00E208EC" w:rsidRDefault="00875CC4" w:rsidP="00875CC4">
      <w:r w:rsidRPr="00875CC4">
        <w:t>As above, m</w:t>
      </w:r>
      <w:r>
        <w:t>any of the projects in SDLAM have important environmental value</w:t>
      </w:r>
      <w:r w:rsidR="003345C4">
        <w:t>. For example, “</w:t>
      </w:r>
      <w:r w:rsidR="003345C4" w:rsidRPr="00B02FDA">
        <w:rPr>
          <w:i/>
          <w:iCs/>
        </w:rPr>
        <w:t>Relaxing constraints in the Murray–Darling Basin’s rivers is necessary to maximising environmental outcomes using water recovered under the Basin Plan 2012”</w:t>
      </w:r>
      <w:r w:rsidR="003345C4">
        <w:t>.</w:t>
      </w:r>
      <w:r w:rsidR="003345C4">
        <w:rPr>
          <w:rStyle w:val="FootnoteReference"/>
        </w:rPr>
        <w:footnoteReference w:id="17"/>
      </w:r>
      <w:r w:rsidR="00B02FDA">
        <w:t xml:space="preserve"> Part of the MDBA’s advice relating to the SDLAM Reconciliation must involve identifying </w:t>
      </w:r>
      <w:proofErr w:type="gramStart"/>
      <w:r w:rsidR="00B02FDA">
        <w:t>future plans</w:t>
      </w:r>
      <w:proofErr w:type="gramEnd"/>
      <w:r w:rsidR="00B02FDA">
        <w:t xml:space="preserve"> for these projects. </w:t>
      </w:r>
      <w:r w:rsidR="003E735D">
        <w:t xml:space="preserve">Where considerable investment has gone into projects, and environmental merit remains with community support, they must continue to progress. </w:t>
      </w:r>
    </w:p>
    <w:p w14:paraId="6CC159A6" w14:textId="77777777" w:rsidR="00C07FAB" w:rsidRPr="00875CC4" w:rsidRDefault="00C07FAB" w:rsidP="00C07FAB">
      <w:r>
        <w:t>For example, the Constraints Roadmap identifies that: “</w:t>
      </w:r>
      <w:r w:rsidRPr="00775F70">
        <w:t>Successfully relaxing constraints across the Basin requires a 10-year program</w:t>
      </w:r>
      <w:r>
        <w:t>…”.</w:t>
      </w:r>
      <w:r>
        <w:rPr>
          <w:rStyle w:val="FootnoteReference"/>
        </w:rPr>
        <w:footnoteReference w:id="18"/>
      </w:r>
    </w:p>
    <w:p w14:paraId="50992B51" w14:textId="41652063" w:rsidR="00C07FAB" w:rsidRDefault="00C07FAB" w:rsidP="00C07FAB">
      <w:pPr>
        <w:jc w:val="center"/>
      </w:pPr>
      <w:r w:rsidRPr="00E9306E">
        <w:rPr>
          <w:b/>
          <w:bCs/>
          <w:i/>
          <w:iCs/>
          <w:color w:val="00538F" w:themeColor="accent1" w:themeShade="BF"/>
        </w:rPr>
        <w:t>Finding</w:t>
      </w:r>
      <w:r>
        <w:rPr>
          <w:b/>
          <w:bCs/>
          <w:i/>
          <w:iCs/>
          <w:color w:val="00538F" w:themeColor="accent1" w:themeShade="BF"/>
        </w:rPr>
        <w:t xml:space="preserve"> </w:t>
      </w:r>
      <w:r w:rsidR="007452BD">
        <w:rPr>
          <w:b/>
          <w:bCs/>
          <w:i/>
          <w:iCs/>
          <w:color w:val="00538F" w:themeColor="accent1" w:themeShade="BF"/>
        </w:rPr>
        <w:t>12</w:t>
      </w:r>
      <w:r w:rsidRPr="00E9306E">
        <w:rPr>
          <w:b/>
          <w:bCs/>
          <w:i/>
          <w:iCs/>
          <w:color w:val="00538F" w:themeColor="accent1" w:themeShade="BF"/>
        </w:rPr>
        <w:t>:</w:t>
      </w:r>
      <w:r>
        <w:rPr>
          <w:b/>
          <w:bCs/>
          <w:i/>
          <w:iCs/>
          <w:color w:val="00538F" w:themeColor="accent1" w:themeShade="BF"/>
        </w:rPr>
        <w:t xml:space="preserve"> Important projects under SDLAM remain important on their own merits, and pathways forward must be identified for such projects. </w:t>
      </w:r>
    </w:p>
    <w:p w14:paraId="1B0FD00B" w14:textId="77777777" w:rsidR="001F1781" w:rsidRDefault="001F1781" w:rsidP="00875CC4"/>
    <w:p w14:paraId="62CFE2C6" w14:textId="5317C104" w:rsidR="00524348" w:rsidRDefault="00524348" w:rsidP="00524348">
      <w:pPr>
        <w:pStyle w:val="Heading2"/>
      </w:pPr>
      <w:bookmarkStart w:id="19" w:name="_Toc243660161"/>
      <w:r>
        <w:t>Incomplete projects</w:t>
      </w:r>
      <w:bookmarkEnd w:id="19"/>
    </w:p>
    <w:p w14:paraId="376959CD" w14:textId="6AD33DBF" w:rsidR="00524348" w:rsidRDefault="0009441F" w:rsidP="001E1D72">
      <w:pPr>
        <w:jc w:val="both"/>
      </w:pPr>
      <w:r w:rsidRPr="0009441F">
        <w:t>It could be interpreted that the Basin Plan's reconciliation provisions distinguish between whether a measure is operational</w:t>
      </w:r>
      <w:r w:rsidR="002F1843">
        <w:t>,</w:t>
      </w:r>
      <w:r w:rsidRPr="0009441F">
        <w:t xml:space="preserve"> and what contribution the measure is </w:t>
      </w:r>
      <w:r w:rsidRPr="001E1D72">
        <w:rPr>
          <w:u w:val="single"/>
        </w:rPr>
        <w:t>expected</w:t>
      </w:r>
      <w:r w:rsidRPr="0009441F">
        <w:t xml:space="preserve"> to make when it operates.</w:t>
      </w:r>
    </w:p>
    <w:p w14:paraId="21ED8F43" w14:textId="59EE46B6" w:rsidR="00524348" w:rsidRDefault="0009441F" w:rsidP="001E1D72">
      <w:pPr>
        <w:jc w:val="both"/>
      </w:pPr>
      <w:r>
        <w:t xml:space="preserve">This nuance </w:t>
      </w:r>
      <w:r w:rsidR="002F1843">
        <w:t xml:space="preserve">is </w:t>
      </w:r>
      <w:r>
        <w:t>different to the typical interpretation that the Reconciliation is simply about determining whether projects are operational at that point in time, or not.</w:t>
      </w:r>
    </w:p>
    <w:p w14:paraId="24A11146" w14:textId="007BBA9F" w:rsidR="0009441F" w:rsidRDefault="002F1843" w:rsidP="001E1D72">
      <w:pPr>
        <w:jc w:val="both"/>
      </w:pPr>
      <w:r>
        <w:t>Distinguishing between the two interpretations is important.</w:t>
      </w:r>
    </w:p>
    <w:p w14:paraId="530A844F" w14:textId="07183BCE" w:rsidR="002745FA" w:rsidRPr="00D07282" w:rsidRDefault="002745FA" w:rsidP="001E1D72">
      <w:pPr>
        <w:jc w:val="both"/>
      </w:pPr>
      <w:r w:rsidRPr="000752C2">
        <w:t>Section 7.15(1)</w:t>
      </w:r>
      <w:r>
        <w:t xml:space="preserve"> of the legislation includes a note: “</w:t>
      </w:r>
      <w:r w:rsidRPr="002745FA">
        <w:rPr>
          <w:i/>
          <w:iCs/>
        </w:rPr>
        <w:t xml:space="preserve">The determination is based on the effect that the supply measures will have when they come into operation, </w:t>
      </w:r>
      <w:proofErr w:type="gramStart"/>
      <w:r w:rsidRPr="002745FA">
        <w:rPr>
          <w:i/>
          <w:iCs/>
        </w:rPr>
        <w:t>whether or not</w:t>
      </w:r>
      <w:proofErr w:type="gramEnd"/>
      <w:r w:rsidRPr="002745FA">
        <w:rPr>
          <w:i/>
          <w:iCs/>
        </w:rPr>
        <w:t xml:space="preserve"> they have done so by the time the measures are notified under section 7.12. The additional supply measures were not included in this provision at the time adjustments were proposed under section 7.10.”</w:t>
      </w:r>
    </w:p>
    <w:p w14:paraId="62E61B13" w14:textId="77777777" w:rsidR="00506B48" w:rsidRDefault="00506B48" w:rsidP="001E1D72">
      <w:pPr>
        <w:jc w:val="both"/>
      </w:pPr>
      <w:r w:rsidRPr="00D07282">
        <w:t xml:space="preserve">Section 7.21(2) requires the MDBA to determine the efficiency, supply and additional HEW contributions </w:t>
      </w:r>
      <w:r w:rsidRPr="007C5387">
        <w:t>"</w:t>
      </w:r>
      <w:r w:rsidRPr="00506B48">
        <w:rPr>
          <w:i/>
          <w:iCs/>
        </w:rPr>
        <w:t>as they are expected to be on 31 December 2026</w:t>
      </w:r>
      <w:r w:rsidRPr="007C5387">
        <w:t>."</w:t>
      </w:r>
    </w:p>
    <w:p w14:paraId="53A7950C" w14:textId="4274C8B2" w:rsidR="002F1843" w:rsidRDefault="006C3CA2" w:rsidP="001E1D72">
      <w:pPr>
        <w:jc w:val="both"/>
      </w:pPr>
      <w:r>
        <w:t xml:space="preserve">The question is </w:t>
      </w:r>
      <w:r w:rsidR="006A5754">
        <w:t>–</w:t>
      </w:r>
      <w:r>
        <w:t xml:space="preserve"> </w:t>
      </w:r>
      <w:r w:rsidR="006A5754">
        <w:t>how should</w:t>
      </w:r>
      <w:r w:rsidR="006A5754" w:rsidRPr="006A5754">
        <w:t xml:space="preserve"> “</w:t>
      </w:r>
      <w:r w:rsidR="006A5754" w:rsidRPr="00651A22">
        <w:rPr>
          <w:i/>
          <w:iCs/>
        </w:rPr>
        <w:t>as they are expected to be</w:t>
      </w:r>
      <w:r w:rsidR="006A5754" w:rsidRPr="006A5754">
        <w:t>”</w:t>
      </w:r>
      <w:r w:rsidR="006A5754">
        <w:t>, be interpreted</w:t>
      </w:r>
      <w:r w:rsidR="006A5754" w:rsidRPr="006A5754">
        <w:t>? If a project is expected to be operationalised in coming years, do we still ‘</w:t>
      </w:r>
      <w:r w:rsidR="006A5754" w:rsidRPr="006E1702">
        <w:rPr>
          <w:i/>
          <w:iCs/>
        </w:rPr>
        <w:t>expect’</w:t>
      </w:r>
      <w:r w:rsidR="006A5754" w:rsidRPr="006A5754">
        <w:t xml:space="preserve"> this outcome at the point in time of </w:t>
      </w:r>
      <w:r w:rsidR="006E1702">
        <w:t>R</w:t>
      </w:r>
      <w:r w:rsidR="006A5754" w:rsidRPr="006A5754">
        <w:t xml:space="preserve">econciliation, even if we don’t have that outcome </w:t>
      </w:r>
      <w:r w:rsidR="006E1702">
        <w:t xml:space="preserve">at </w:t>
      </w:r>
      <w:r w:rsidR="002C1573">
        <w:t>Reconciliation</w:t>
      </w:r>
      <w:r w:rsidR="006A5754" w:rsidRPr="006A5754">
        <w:t>?</w:t>
      </w:r>
      <w:r w:rsidR="006E1702">
        <w:t xml:space="preserve"> </w:t>
      </w:r>
    </w:p>
    <w:p w14:paraId="16B630C8" w14:textId="2F527F9B" w:rsidR="00CD2E24" w:rsidRDefault="00044EEC" w:rsidP="001E1D72">
      <w:pPr>
        <w:jc w:val="both"/>
      </w:pPr>
      <w:r>
        <w:t xml:space="preserve">It is noted that there </w:t>
      </w:r>
      <w:r w:rsidR="000F5DA8">
        <w:t>is a common interpretation (including MDBA)</w:t>
      </w:r>
      <w:r w:rsidR="000F5DA8">
        <w:rPr>
          <w:rStyle w:val="FootnoteReference"/>
        </w:rPr>
        <w:footnoteReference w:id="19"/>
      </w:r>
      <w:r w:rsidR="000F5DA8">
        <w:t xml:space="preserve"> of this to mean </w:t>
      </w:r>
      <w:r w:rsidR="005E53D3">
        <w:t>projects</w:t>
      </w:r>
      <w:r w:rsidR="000F5DA8">
        <w:t xml:space="preserve"> need to be operationalised by that date – however </w:t>
      </w:r>
      <w:r w:rsidR="00DD6B7C">
        <w:t xml:space="preserve">- </w:t>
      </w:r>
      <w:r w:rsidR="000F5DA8">
        <w:t xml:space="preserve">if we base interpretation off the same construct as the 2017 Determination, it could be interpreted to reflect the </w:t>
      </w:r>
      <w:r w:rsidR="000F5DA8" w:rsidRPr="000E0B79">
        <w:t xml:space="preserve">contribution the measure is </w:t>
      </w:r>
      <w:r w:rsidR="000F5DA8" w:rsidRPr="005E53D3">
        <w:rPr>
          <w:i/>
          <w:iCs/>
        </w:rPr>
        <w:t>expected</w:t>
      </w:r>
      <w:r w:rsidR="000F5DA8" w:rsidRPr="000E0B79">
        <w:t xml:space="preserve"> to make when it operates</w:t>
      </w:r>
      <w:r w:rsidR="000F5DA8">
        <w:t xml:space="preserve">, irrespective of </w:t>
      </w:r>
      <w:r w:rsidR="006D171A">
        <w:t>the</w:t>
      </w:r>
      <w:r w:rsidR="000F5DA8">
        <w:t xml:space="preserve"> status</w:t>
      </w:r>
      <w:r w:rsidR="006D171A">
        <w:t xml:space="preserve"> </w:t>
      </w:r>
      <w:r w:rsidR="00DD6B7C">
        <w:t>at the point in time of the determination</w:t>
      </w:r>
      <w:r w:rsidR="006D171A">
        <w:t xml:space="preserve"> rather what expectations could reasonably be made at that point in time. </w:t>
      </w:r>
    </w:p>
    <w:p w14:paraId="57FF09FE" w14:textId="310BA11F" w:rsidR="00FA05DA" w:rsidRDefault="00FA05DA" w:rsidP="001E1D72">
      <w:pPr>
        <w:jc w:val="both"/>
      </w:pPr>
      <w:r>
        <w:t xml:space="preserve">Clarification of this interpretation is important, particularly in the context of several projects that are incomplete at the time of Reconciliation, but can still be </w:t>
      </w:r>
      <w:r w:rsidRPr="00FA05DA">
        <w:rPr>
          <w:i/>
          <w:iCs/>
          <w:u w:val="single"/>
        </w:rPr>
        <w:t>expected</w:t>
      </w:r>
      <w:r>
        <w:t xml:space="preserve"> to make valuable contributions once they do indeed become operations. </w:t>
      </w:r>
    </w:p>
    <w:p w14:paraId="1B9776DC" w14:textId="77777777" w:rsidR="00CF094E" w:rsidRDefault="00CF094E" w:rsidP="00D36C82"/>
    <w:p w14:paraId="20F29C66" w14:textId="1DBBCD76" w:rsidR="00CC12E8" w:rsidRDefault="00CC12E8" w:rsidP="00CF094E">
      <w:pPr>
        <w:pStyle w:val="Heading1"/>
      </w:pPr>
      <w:bookmarkStart w:id="20" w:name="_Toc243660162"/>
      <w:r>
        <w:t>Protecting entitlement reliability</w:t>
      </w:r>
      <w:bookmarkEnd w:id="20"/>
    </w:p>
    <w:p w14:paraId="6C0073AB" w14:textId="1849265E" w:rsidR="00CC12E8" w:rsidRDefault="00CC12E8" w:rsidP="007E56EC">
      <w:pPr>
        <w:jc w:val="both"/>
      </w:pPr>
      <w:r>
        <w:t>A major concern of water users given the SDLAM Reconciliation is protecting the reliability of water entitlements.</w:t>
      </w:r>
    </w:p>
    <w:p w14:paraId="67667273" w14:textId="67E664A3" w:rsidR="00CC12E8" w:rsidRDefault="00551F7B" w:rsidP="007E56EC">
      <w:pPr>
        <w:jc w:val="both"/>
      </w:pPr>
      <w:r>
        <w:t>It is noted that the SDLAM Reconciliation Framework states:</w:t>
      </w:r>
    </w:p>
    <w:p w14:paraId="2C17D4F0" w14:textId="24F0B034" w:rsidR="00551F7B" w:rsidRPr="00323F41" w:rsidRDefault="00551F7B" w:rsidP="007E56EC">
      <w:pPr>
        <w:jc w:val="both"/>
        <w:rPr>
          <w:i/>
          <w:iCs/>
        </w:rPr>
      </w:pPr>
      <w:r w:rsidRPr="00323F41">
        <w:rPr>
          <w:i/>
          <w:iCs/>
        </w:rPr>
        <w:t>“</w:t>
      </w:r>
      <w:r w:rsidR="00323F41" w:rsidRPr="00323F41">
        <w:rPr>
          <w:i/>
          <w:iCs/>
        </w:rPr>
        <w:t>The Basin Plan’s existing SDL accounting arrangements will mean that with lowered SDLs there will be no impact to the reliability of entitlements. This is because the Basin Plan allows for an adjustment for incomplete water recovery.”</w:t>
      </w:r>
    </w:p>
    <w:p w14:paraId="41A640BA" w14:textId="69BEE915" w:rsidR="0044050D" w:rsidRDefault="00323F41" w:rsidP="007E56EC">
      <w:pPr>
        <w:jc w:val="both"/>
      </w:pPr>
      <w:r>
        <w:t>While it is pleasing to hear this statement from the MDBA,</w:t>
      </w:r>
      <w:r w:rsidR="00821A4D">
        <w:t xml:space="preserve"> NIC remains concerned, as we understand this to be at the discretion of the IGWC to determine if a </w:t>
      </w:r>
      <w:r w:rsidR="007E56EC">
        <w:t>‘</w:t>
      </w:r>
      <w:r w:rsidR="00821A4D">
        <w:t>reasonable excuse</w:t>
      </w:r>
      <w:r w:rsidR="007E56EC">
        <w:t>’</w:t>
      </w:r>
      <w:r w:rsidR="00821A4D">
        <w:t xml:space="preserve"> is accepted. </w:t>
      </w:r>
      <w:r w:rsidR="0044050D">
        <w:t>Therefore,</w:t>
      </w:r>
      <w:r w:rsidR="000B5C33">
        <w:t xml:space="preserve"> we are concerned that</w:t>
      </w:r>
      <w:r w:rsidR="0044050D">
        <w:t xml:space="preserve"> the risks remain. </w:t>
      </w:r>
    </w:p>
    <w:p w14:paraId="0401C616" w14:textId="7ECE0965" w:rsidR="00323F41" w:rsidRDefault="007E56EC" w:rsidP="007E56EC">
      <w:pPr>
        <w:jc w:val="both"/>
      </w:pPr>
      <w:r>
        <w:t>We are also concerned that such a scenario</w:t>
      </w:r>
      <w:r w:rsidR="00CD09AD">
        <w:t xml:space="preserve"> of </w:t>
      </w:r>
      <w:r w:rsidR="28CAD36F">
        <w:t xml:space="preserve">actively </w:t>
      </w:r>
      <w:r w:rsidR="00CD09AD">
        <w:t>relying on reasonable excuse provisions</w:t>
      </w:r>
      <w:r>
        <w:t xml:space="preserve"> would undermine public confidence in both water management, and industry social licence, if there was a perception of non-compliance with SDLs, given the general public will not appreciate that the gap is a result of project under-delivery</w:t>
      </w:r>
      <w:r w:rsidR="00C82900">
        <w:t xml:space="preserve"> by State Governments</w:t>
      </w:r>
      <w:r>
        <w:t xml:space="preserve">. </w:t>
      </w:r>
      <w:r w:rsidR="00EA1466">
        <w:t xml:space="preserve">Seeking an agreed resolution prior to such a situation developing will be critical for all parties. </w:t>
      </w:r>
    </w:p>
    <w:p w14:paraId="336C3CCC" w14:textId="61F40F16" w:rsidR="00BB281E" w:rsidRDefault="00BB281E" w:rsidP="00BB281E">
      <w:pPr>
        <w:pStyle w:val="Heading2"/>
      </w:pPr>
      <w:bookmarkStart w:id="21" w:name="_Toc243660163"/>
      <w:r>
        <w:t>Risk responsibilities of the Commonwealth</w:t>
      </w:r>
      <w:bookmarkEnd w:id="21"/>
      <w:r>
        <w:t xml:space="preserve"> </w:t>
      </w:r>
    </w:p>
    <w:p w14:paraId="7DAE560F" w14:textId="49D1E395" w:rsidR="0043192A" w:rsidRDefault="0043192A" w:rsidP="007E56EC">
      <w:pPr>
        <w:jc w:val="both"/>
      </w:pPr>
      <w:r>
        <w:t xml:space="preserve">It is noted that </w:t>
      </w:r>
      <w:r w:rsidR="00867652">
        <w:t xml:space="preserve">as part of the </w:t>
      </w:r>
      <w:r w:rsidR="00902F71" w:rsidRPr="00902F71">
        <w:t>Intergovernmental Agreement on Implementing the Murray Darling Basin Plan</w:t>
      </w:r>
      <w:r w:rsidR="00902F71">
        <w:t>:</w:t>
      </w:r>
    </w:p>
    <w:p w14:paraId="2E16FD7F" w14:textId="49C2FD3F" w:rsidR="000B5C33" w:rsidRPr="00C64D2B" w:rsidRDefault="000B5C33" w:rsidP="000B5C33">
      <w:pPr>
        <w:spacing w:before="240"/>
        <w:ind w:left="720"/>
        <w:rPr>
          <w:i/>
          <w:iCs/>
        </w:rPr>
      </w:pPr>
      <w:r w:rsidRPr="00C64D2B">
        <w:rPr>
          <w:i/>
          <w:iCs/>
        </w:rPr>
        <w:t xml:space="preserve">“2.2 The Commonwealth has committed to ‘Bridge the Gap’ between Baseline Diversion Limits (BDLs) and Sustainable Diversion Limits (SDLs) in the Basin Plan. As a result, it is intended that no water entitlements will be eroded or compulsorily acquired </w:t>
      </w:r>
      <w:proofErr w:type="gramStart"/>
      <w:r w:rsidRPr="00C64D2B">
        <w:rPr>
          <w:i/>
          <w:iCs/>
        </w:rPr>
        <w:t>as a result of</w:t>
      </w:r>
      <w:proofErr w:type="gramEnd"/>
      <w:r w:rsidRPr="00C64D2B">
        <w:rPr>
          <w:i/>
          <w:iCs/>
        </w:rPr>
        <w:t xml:space="preserve"> the Basin Plan.”</w:t>
      </w:r>
    </w:p>
    <w:p w14:paraId="4307B805" w14:textId="77777777" w:rsidR="000B5C33" w:rsidRPr="00C64D2B" w:rsidRDefault="000B5C33" w:rsidP="000B5C33">
      <w:pPr>
        <w:spacing w:before="240"/>
        <w:ind w:left="720"/>
        <w:rPr>
          <w:i/>
          <w:iCs/>
        </w:rPr>
      </w:pPr>
      <w:r w:rsidRPr="00C64D2B">
        <w:rPr>
          <w:i/>
          <w:iCs/>
        </w:rPr>
        <w:t xml:space="preserve">“11.1The Parties note that under the risk assignment provisions in the Water Act and the Basin Plan, the Commonwealth is responsible only for risk obligations resulting from reductions or changes in reliability based on the difference between the BDL and the SDL, as enforced from 2019. </w:t>
      </w:r>
    </w:p>
    <w:p w14:paraId="1A2B76B7" w14:textId="77777777" w:rsidR="000B5C33" w:rsidRPr="00C64D2B" w:rsidRDefault="000B5C33" w:rsidP="000B5C33">
      <w:pPr>
        <w:spacing w:before="240"/>
        <w:ind w:left="720"/>
        <w:rPr>
          <w:b/>
          <w:bCs/>
          <w:i/>
          <w:iCs/>
        </w:rPr>
      </w:pPr>
      <w:r w:rsidRPr="00C64D2B">
        <w:rPr>
          <w:i/>
          <w:iCs/>
        </w:rPr>
        <w:t xml:space="preserve">11.2 Subject to compliance with the ‘Bridging the Gap’ provisions of this Agreement, the obligation to ‘Bridge the Gap’, including through SDL compliance arrangements, will not at any point be passed from the Commonwealth to the States.”   </w:t>
      </w:r>
      <w:r w:rsidRPr="00C64D2B">
        <w:rPr>
          <w:rStyle w:val="FootnoteReference"/>
          <w:i/>
          <w:iCs/>
        </w:rPr>
        <w:footnoteReference w:id="20"/>
      </w:r>
    </w:p>
    <w:p w14:paraId="7582A15A" w14:textId="10761304" w:rsidR="00902F71" w:rsidRDefault="00902F71" w:rsidP="007E56EC">
      <w:pPr>
        <w:jc w:val="both"/>
      </w:pPr>
    </w:p>
    <w:p w14:paraId="22E3DF62" w14:textId="076D8297" w:rsidR="00BB281E" w:rsidRDefault="00BB281E" w:rsidP="00604D40">
      <w:pPr>
        <w:jc w:val="both"/>
      </w:pPr>
      <w:r>
        <w:t xml:space="preserve">This relates to the agreed Risk Assignment Framework in the Intergovernmental Agreement on the National Water Initiative (NWI) and Agreement (NWA). </w:t>
      </w:r>
    </w:p>
    <w:p w14:paraId="4789CDCD" w14:textId="30F4AB9B" w:rsidR="00A467AC" w:rsidRDefault="0018356C" w:rsidP="00604D40">
      <w:pPr>
        <w:jc w:val="both"/>
      </w:pPr>
      <w:r>
        <w:t xml:space="preserve">As part of the MDBA’s advice to the Minister on the SDLAM Reconciliation, it will be important to remind the Minister of these Commonwealth commitments and obligations. </w:t>
      </w:r>
      <w:r w:rsidR="00A467AC">
        <w:t xml:space="preserve">This is because the financial liabilities of the Commonwealth must be understood as part of decision-making. </w:t>
      </w:r>
    </w:p>
    <w:p w14:paraId="7FC8FB06" w14:textId="1F04FEC7" w:rsidR="00354C87" w:rsidRDefault="00C57646" w:rsidP="00041098">
      <w:pPr>
        <w:jc w:val="both"/>
      </w:pPr>
      <w:r>
        <w:t xml:space="preserve">NIC would consider </w:t>
      </w:r>
      <w:r w:rsidR="00CF64CD">
        <w:t xml:space="preserve">lowered SDLs through reliability impacts as the </w:t>
      </w:r>
      <w:r w:rsidR="00413A8F">
        <w:t>worst-case</w:t>
      </w:r>
      <w:r w:rsidR="00CF64CD">
        <w:t xml:space="preserve"> scenario as a major violation of the water property right. It is important that the </w:t>
      </w:r>
      <w:r w:rsidR="00413A8F">
        <w:t>Minister understands</w:t>
      </w:r>
      <w:r w:rsidR="00CF64CD">
        <w:t xml:space="preserve"> the financial liabilities that would arise</w:t>
      </w:r>
      <w:r w:rsidR="00FC0035">
        <w:t xml:space="preserve"> for the Commonwealth</w:t>
      </w:r>
      <w:r w:rsidR="00CF64CD">
        <w:t xml:space="preserve"> if such an outcome was to occur. Recognising such costs is </w:t>
      </w:r>
      <w:r w:rsidR="00604D40">
        <w:t>a critical part</w:t>
      </w:r>
      <w:r w:rsidR="00CF64CD">
        <w:t xml:space="preserve"> of decision-making on alternative options, which provide better outcomes at substantially lower costs. </w:t>
      </w:r>
    </w:p>
    <w:p w14:paraId="7A20A9A4" w14:textId="6E0CE81B" w:rsidR="00AB1C75" w:rsidRDefault="000C65BB" w:rsidP="000C65BB">
      <w:pPr>
        <w:jc w:val="center"/>
        <w:rPr>
          <w:b/>
          <w:bCs/>
          <w:i/>
          <w:iCs/>
          <w:color w:val="00538F" w:themeColor="accent1" w:themeShade="BF"/>
        </w:rPr>
      </w:pPr>
      <w:r w:rsidRPr="00E9306E">
        <w:rPr>
          <w:b/>
          <w:bCs/>
          <w:i/>
          <w:iCs/>
          <w:color w:val="00538F" w:themeColor="accent1" w:themeShade="BF"/>
        </w:rPr>
        <w:t>Finding</w:t>
      </w:r>
      <w:r>
        <w:rPr>
          <w:b/>
          <w:bCs/>
          <w:i/>
          <w:iCs/>
          <w:color w:val="00538F" w:themeColor="accent1" w:themeShade="BF"/>
        </w:rPr>
        <w:t xml:space="preserve"> 1</w:t>
      </w:r>
      <w:r w:rsidR="007452BD">
        <w:rPr>
          <w:b/>
          <w:bCs/>
          <w:i/>
          <w:iCs/>
          <w:color w:val="00538F" w:themeColor="accent1" w:themeShade="BF"/>
        </w:rPr>
        <w:t>3</w:t>
      </w:r>
      <w:r>
        <w:rPr>
          <w:b/>
          <w:bCs/>
          <w:i/>
          <w:iCs/>
          <w:color w:val="00538F" w:themeColor="accent1" w:themeShade="BF"/>
        </w:rPr>
        <w:t>: Water entitlement reliability remains at-risk, as the granting of reasonable excuse provisions sits with the IGWC. This places major risks on all water users, as well as substantial financial and legal liabilities on the Commonwealth Government.</w:t>
      </w:r>
    </w:p>
    <w:p w14:paraId="5E7BF938" w14:textId="76751573" w:rsidR="00F73A80" w:rsidRDefault="00F73A80" w:rsidP="000C65BB">
      <w:pPr>
        <w:jc w:val="center"/>
      </w:pPr>
      <w:r>
        <w:rPr>
          <w:b/>
          <w:bCs/>
          <w:i/>
          <w:iCs/>
          <w:color w:val="00538F" w:themeColor="accent1" w:themeShade="BF"/>
        </w:rPr>
        <w:t>Recommendation</w:t>
      </w:r>
      <w:r w:rsidRPr="00E9306E">
        <w:rPr>
          <w:b/>
          <w:bCs/>
          <w:i/>
          <w:iCs/>
          <w:color w:val="00538F" w:themeColor="accent1" w:themeShade="BF"/>
        </w:rPr>
        <w:t xml:space="preserve"> </w:t>
      </w:r>
      <w:r w:rsidR="00352052">
        <w:rPr>
          <w:b/>
          <w:bCs/>
          <w:i/>
          <w:iCs/>
          <w:color w:val="00538F" w:themeColor="accent1" w:themeShade="BF"/>
        </w:rPr>
        <w:t>6</w:t>
      </w:r>
      <w:r>
        <w:rPr>
          <w:b/>
          <w:bCs/>
          <w:i/>
          <w:iCs/>
          <w:color w:val="00538F" w:themeColor="accent1" w:themeShade="BF"/>
        </w:rPr>
        <w:t xml:space="preserve">: Advice to the Minister must include briefing of the </w:t>
      </w:r>
      <w:r w:rsidR="00522C79">
        <w:rPr>
          <w:b/>
          <w:bCs/>
          <w:i/>
          <w:iCs/>
          <w:color w:val="00538F" w:themeColor="accent1" w:themeShade="BF"/>
        </w:rPr>
        <w:t>Commonwealths</w:t>
      </w:r>
      <w:r>
        <w:rPr>
          <w:b/>
          <w:bCs/>
          <w:i/>
          <w:iCs/>
          <w:color w:val="00538F" w:themeColor="accent1" w:themeShade="BF"/>
        </w:rPr>
        <w:t xml:space="preserve"> financial </w:t>
      </w:r>
      <w:r w:rsidR="00522C79">
        <w:rPr>
          <w:b/>
          <w:bCs/>
          <w:i/>
          <w:iCs/>
          <w:color w:val="00538F" w:themeColor="accent1" w:themeShade="BF"/>
        </w:rPr>
        <w:t>commitments and</w:t>
      </w:r>
      <w:r>
        <w:rPr>
          <w:b/>
          <w:bCs/>
          <w:i/>
          <w:iCs/>
          <w:color w:val="00538F" w:themeColor="accent1" w:themeShade="BF"/>
        </w:rPr>
        <w:t xml:space="preserve"> liabilities. </w:t>
      </w:r>
    </w:p>
    <w:p w14:paraId="79656DFC" w14:textId="2EE02F44" w:rsidR="00354C87" w:rsidRDefault="00354C87" w:rsidP="00354C87">
      <w:pPr>
        <w:pStyle w:val="Heading1"/>
      </w:pPr>
      <w:bookmarkStart w:id="22" w:name="_Toc243660164"/>
      <w:r>
        <w:t>Clarification of process going forward</w:t>
      </w:r>
      <w:bookmarkEnd w:id="22"/>
    </w:p>
    <w:p w14:paraId="4459D03A" w14:textId="052967D7" w:rsidR="00354C87" w:rsidRDefault="00354C87" w:rsidP="00992944">
      <w:pPr>
        <w:jc w:val="both"/>
      </w:pPr>
      <w:r>
        <w:t>Communities are facing uncertainty of the process ahead</w:t>
      </w:r>
      <w:r w:rsidR="001264AF">
        <w:t>. It is noted in the SDLAM Reconciliation Framework:</w:t>
      </w:r>
    </w:p>
    <w:p w14:paraId="50001262" w14:textId="1BDA8E0B" w:rsidR="00354C87" w:rsidRPr="00041098" w:rsidRDefault="00354C87" w:rsidP="00992944">
      <w:pPr>
        <w:jc w:val="both"/>
        <w:rPr>
          <w:i/>
          <w:iCs/>
        </w:rPr>
      </w:pPr>
      <w:r w:rsidRPr="00041098">
        <w:rPr>
          <w:i/>
          <w:iCs/>
        </w:rPr>
        <w:t>“</w:t>
      </w:r>
      <w:r w:rsidR="00F86271" w:rsidRPr="00041098">
        <w:rPr>
          <w:i/>
          <w:iCs/>
        </w:rPr>
        <w:t>The SDL accounting provisions within the Basin States’ water resource plans automatically allow this changed SDL limit to be adopted in the SDL accounts. If legislative amendments are in effect by 30 June 2027, new SDLs will apply for the 2027 – 2028 water year.”</w:t>
      </w:r>
      <w:r w:rsidR="00391FB8">
        <w:rPr>
          <w:rStyle w:val="FootnoteReference"/>
          <w:i/>
          <w:iCs/>
        </w:rPr>
        <w:footnoteReference w:id="21"/>
      </w:r>
    </w:p>
    <w:p w14:paraId="51A4D961" w14:textId="67120C72" w:rsidR="00551F7B" w:rsidRDefault="00391FB8" w:rsidP="00992944">
      <w:pPr>
        <w:jc w:val="both"/>
      </w:pPr>
      <w:r>
        <w:t>However, there is also understood to be substantial legislative change potentially occurring in 2027, resulting from the Basin Plan Review and Water Act Review</w:t>
      </w:r>
      <w:r w:rsidR="00ED196F">
        <w:t xml:space="preserve"> (and more)</w:t>
      </w:r>
      <w:r>
        <w:t xml:space="preserve">. </w:t>
      </w:r>
      <w:r w:rsidR="008D0875">
        <w:t xml:space="preserve">Given the extent of possible reform and impacts, communities are </w:t>
      </w:r>
      <w:r w:rsidR="00ED196F">
        <w:t>anxious</w:t>
      </w:r>
      <w:r w:rsidR="008D0875">
        <w:t xml:space="preserve">, </w:t>
      </w:r>
      <w:r w:rsidR="00ED196F">
        <w:t xml:space="preserve">feeling </w:t>
      </w:r>
      <w:r w:rsidR="008D0875">
        <w:t xml:space="preserve">uncertain, and worried about </w:t>
      </w:r>
      <w:r w:rsidR="00992944">
        <w:t xml:space="preserve">next steps. </w:t>
      </w:r>
    </w:p>
    <w:p w14:paraId="52E2B8C7" w14:textId="1F72A3FF" w:rsidR="00410A3D" w:rsidRDefault="00410A3D" w:rsidP="00992944">
      <w:pPr>
        <w:jc w:val="both"/>
      </w:pPr>
      <w:r>
        <w:t>We understand the Minister will be receiving the recommendations of numerous reviews, around a similar time</w:t>
      </w:r>
      <w:r w:rsidR="00C15870">
        <w:t xml:space="preserve">, but mostly after the Reconciliation date. </w:t>
      </w:r>
    </w:p>
    <w:p w14:paraId="7BC7A5A7" w14:textId="107DCE00" w:rsidR="00C15870" w:rsidRDefault="00C15870" w:rsidP="00C15870">
      <w:pPr>
        <w:jc w:val="center"/>
        <w:rPr>
          <w:b/>
          <w:bCs/>
          <w:i/>
          <w:iCs/>
          <w:color w:val="00538F" w:themeColor="accent1" w:themeShade="BF"/>
        </w:rPr>
      </w:pPr>
      <w:r>
        <w:rPr>
          <w:b/>
          <w:bCs/>
          <w:i/>
          <w:iCs/>
          <w:color w:val="00538F" w:themeColor="accent1" w:themeShade="BF"/>
        </w:rPr>
        <w:t>Recommendation</w:t>
      </w:r>
      <w:r w:rsidRPr="00E9306E">
        <w:rPr>
          <w:b/>
          <w:bCs/>
          <w:i/>
          <w:iCs/>
          <w:color w:val="00538F" w:themeColor="accent1" w:themeShade="BF"/>
        </w:rPr>
        <w:t xml:space="preserve"> </w:t>
      </w:r>
      <w:r w:rsidR="00352052">
        <w:rPr>
          <w:b/>
          <w:bCs/>
          <w:i/>
          <w:iCs/>
          <w:color w:val="00538F" w:themeColor="accent1" w:themeShade="BF"/>
        </w:rPr>
        <w:t>7</w:t>
      </w:r>
      <w:r>
        <w:rPr>
          <w:b/>
          <w:bCs/>
          <w:i/>
          <w:iCs/>
          <w:color w:val="00538F" w:themeColor="accent1" w:themeShade="BF"/>
        </w:rPr>
        <w:t>a</w:t>
      </w:r>
      <w:r w:rsidRPr="00E9306E">
        <w:rPr>
          <w:b/>
          <w:bCs/>
          <w:i/>
          <w:iCs/>
          <w:color w:val="00538F" w:themeColor="accent1" w:themeShade="BF"/>
        </w:rPr>
        <w:t>:</w:t>
      </w:r>
      <w:r>
        <w:rPr>
          <w:b/>
          <w:bCs/>
          <w:i/>
          <w:iCs/>
          <w:color w:val="00538F" w:themeColor="accent1" w:themeShade="BF"/>
        </w:rPr>
        <w:t xml:space="preserve"> The decisions on the SDLAM Reconciliation must await the final outcomes of the Basin Plan and other reviews, to be evidence-based decisions.</w:t>
      </w:r>
    </w:p>
    <w:p w14:paraId="4FAC3553" w14:textId="59A062AB" w:rsidR="00CC12E8" w:rsidRPr="00CC12E8" w:rsidRDefault="00C15870" w:rsidP="007452BD">
      <w:pPr>
        <w:jc w:val="center"/>
      </w:pPr>
      <w:r>
        <w:rPr>
          <w:b/>
          <w:bCs/>
          <w:i/>
          <w:iCs/>
          <w:color w:val="00538F" w:themeColor="accent1" w:themeShade="BF"/>
        </w:rPr>
        <w:t>Recommendation</w:t>
      </w:r>
      <w:r w:rsidRPr="00E9306E">
        <w:rPr>
          <w:b/>
          <w:bCs/>
          <w:i/>
          <w:iCs/>
          <w:color w:val="00538F" w:themeColor="accent1" w:themeShade="BF"/>
        </w:rPr>
        <w:t xml:space="preserve"> </w:t>
      </w:r>
      <w:r w:rsidR="00352052">
        <w:rPr>
          <w:b/>
          <w:bCs/>
          <w:i/>
          <w:iCs/>
          <w:color w:val="00538F" w:themeColor="accent1" w:themeShade="BF"/>
        </w:rPr>
        <w:t>7</w:t>
      </w:r>
      <w:r w:rsidR="00AB1C75">
        <w:rPr>
          <w:b/>
          <w:bCs/>
          <w:i/>
          <w:iCs/>
          <w:color w:val="00538F" w:themeColor="accent1" w:themeShade="BF"/>
        </w:rPr>
        <w:t>b</w:t>
      </w:r>
      <w:r w:rsidRPr="00E9306E">
        <w:rPr>
          <w:b/>
          <w:bCs/>
          <w:i/>
          <w:iCs/>
          <w:color w:val="00538F" w:themeColor="accent1" w:themeShade="BF"/>
        </w:rPr>
        <w:t>:</w:t>
      </w:r>
      <w:r>
        <w:rPr>
          <w:b/>
          <w:bCs/>
          <w:i/>
          <w:iCs/>
          <w:color w:val="00538F" w:themeColor="accent1" w:themeShade="BF"/>
        </w:rPr>
        <w:t xml:space="preserve"> </w:t>
      </w:r>
      <w:r w:rsidR="00AB1C75">
        <w:rPr>
          <w:b/>
          <w:bCs/>
          <w:i/>
          <w:iCs/>
          <w:color w:val="00538F" w:themeColor="accent1" w:themeShade="BF"/>
        </w:rPr>
        <w:t xml:space="preserve">A process is needed to give stakeholders confidence of how the Minister plans to pull together the recommendations and findings from multiple reviews into potential legislative amendments. This includes, but is not limited to, SDLAM. </w:t>
      </w:r>
    </w:p>
    <w:p w14:paraId="3CE281B9" w14:textId="729388C3" w:rsidR="00CF094E" w:rsidRDefault="00CF094E" w:rsidP="00CF094E">
      <w:pPr>
        <w:pStyle w:val="Heading1"/>
      </w:pPr>
      <w:bookmarkStart w:id="23" w:name="_Toc243660165"/>
      <w:r>
        <w:t xml:space="preserve">Technical aspects of </w:t>
      </w:r>
      <w:r w:rsidR="00F93B3B">
        <w:t>determining the determination</w:t>
      </w:r>
      <w:bookmarkEnd w:id="23"/>
      <w:r w:rsidR="00F93B3B">
        <w:t xml:space="preserve"> </w:t>
      </w:r>
    </w:p>
    <w:p w14:paraId="7691E827" w14:textId="2EE577ED" w:rsidR="00F93B3B" w:rsidRDefault="00F93B3B" w:rsidP="00544880">
      <w:pPr>
        <w:jc w:val="both"/>
      </w:pPr>
      <w:r>
        <w:t xml:space="preserve">NIC note a large focus of this public consultation is on the technical and modelling aspects of SDLAM. This is beyond the capabilities </w:t>
      </w:r>
      <w:r w:rsidR="0036772A">
        <w:t xml:space="preserve">and resourcing </w:t>
      </w:r>
      <w:r>
        <w:t>of most stakeholders to respond to, particularly given the details required to technically scrutinis</w:t>
      </w:r>
      <w:r w:rsidR="0036772A">
        <w:t>e</w:t>
      </w:r>
      <w:r>
        <w:t xml:space="preserve"> these projects are not available</w:t>
      </w:r>
      <w:r w:rsidR="0036772A">
        <w:t xml:space="preserve">, and would require more time and resourcing than thus consultation allows. </w:t>
      </w:r>
    </w:p>
    <w:p w14:paraId="1EE7B84D" w14:textId="049D641E" w:rsidR="00270AA2" w:rsidRPr="00F93B3B" w:rsidRDefault="0036772A" w:rsidP="00544880">
      <w:pPr>
        <w:jc w:val="both"/>
      </w:pPr>
      <w:r>
        <w:t xml:space="preserve">NIC </w:t>
      </w:r>
      <w:r w:rsidR="00270AA2">
        <w:t xml:space="preserve">has thus chosen to focus on shaping how the MDBA deals with the results of reconciliation, in terms of the recommendations that go to the Minister to </w:t>
      </w:r>
      <w:proofErr w:type="gramStart"/>
      <w:r w:rsidR="00270AA2">
        <w:t>make a decision</w:t>
      </w:r>
      <w:proofErr w:type="gramEnd"/>
      <w:r w:rsidR="00270AA2">
        <w:t>.</w:t>
      </w:r>
    </w:p>
    <w:p w14:paraId="65FF64EC" w14:textId="222C4348" w:rsidR="00B211D9" w:rsidRDefault="00322895" w:rsidP="00B211D9">
      <w:pPr>
        <w:pStyle w:val="Heading1"/>
      </w:pPr>
      <w:bookmarkStart w:id="24" w:name="_Toc243660166"/>
      <w:r>
        <w:t>Moving Forward</w:t>
      </w:r>
      <w:r w:rsidR="00AF8230">
        <w:t>s</w:t>
      </w:r>
      <w:r>
        <w:t xml:space="preserve">: </w:t>
      </w:r>
      <w:r w:rsidR="00B211D9">
        <w:t>How to resolve SDLAM</w:t>
      </w:r>
      <w:bookmarkEnd w:id="24"/>
    </w:p>
    <w:p w14:paraId="6B0BD626" w14:textId="4A294981" w:rsidR="00B211D9" w:rsidRDefault="000064AA" w:rsidP="00544880">
      <w:pPr>
        <w:jc w:val="both"/>
      </w:pPr>
      <w:r>
        <w:t xml:space="preserve">The recommended approach to address SDLAM is one that prioritises future investment in solutions which directly target the environmental risks (which evidence shows cannot be achieved via further water recovery or SDL adjustment), while protecting communities and industries from even further water recovery or SDL adjustment. </w:t>
      </w:r>
    </w:p>
    <w:p w14:paraId="673E461B" w14:textId="713DF07F" w:rsidR="000064AA" w:rsidRDefault="000064AA" w:rsidP="00544880">
      <w:pPr>
        <w:jc w:val="both"/>
      </w:pPr>
      <w:r>
        <w:t xml:space="preserve">It is important also to factor in reform fatigue, and the ongoing </w:t>
      </w:r>
      <w:r w:rsidR="004133CE">
        <w:t xml:space="preserve">instability posed by ‘threats’ of further water recovery. </w:t>
      </w:r>
      <w:r w:rsidR="00FC57BA">
        <w:t xml:space="preserve">This is particularly pertinent in situations where communities carry the risks of poor or delayed implementation, but the powers to do </w:t>
      </w:r>
      <w:r w:rsidR="00520376">
        <w:t xml:space="preserve">the </w:t>
      </w:r>
      <w:r w:rsidR="00FC57BA">
        <w:t xml:space="preserve">implementation are with the States. </w:t>
      </w:r>
      <w:r w:rsidR="004133CE">
        <w:t xml:space="preserve">Learnings from SDLAM implementation show that having important projects linked to ‘threats’ of further water recovery, makes seeking genuine community support and trust very challenging. </w:t>
      </w:r>
    </w:p>
    <w:p w14:paraId="6B005073" w14:textId="5A27640F" w:rsidR="00520376" w:rsidRDefault="00520376" w:rsidP="00544880">
      <w:pPr>
        <w:jc w:val="both"/>
      </w:pPr>
      <w:r>
        <w:t xml:space="preserve">There are also learnings </w:t>
      </w:r>
      <w:proofErr w:type="gramStart"/>
      <w:r w:rsidR="00413A8F">
        <w:t>in regard to</w:t>
      </w:r>
      <w:proofErr w:type="gramEnd"/>
      <w:r>
        <w:t xml:space="preserve"> volumetric equivalence. As the MDBA now rightly points out, </w:t>
      </w:r>
    </w:p>
    <w:p w14:paraId="5791C75B" w14:textId="486B3731" w:rsidR="005E33E5" w:rsidRPr="009B7353" w:rsidRDefault="005E33E5" w:rsidP="00544880">
      <w:pPr>
        <w:jc w:val="both"/>
        <w:rPr>
          <w:i/>
          <w:iCs/>
        </w:rPr>
      </w:pPr>
      <w:r w:rsidRPr="009B7353">
        <w:rPr>
          <w:i/>
          <w:iCs/>
        </w:rPr>
        <w:t>“When the Basin Plan commenced it was assumed that water for the environment to key sites would be sufficient to maintain ecological health across the Basin. We have learnt it is more complex and challenging than this…”</w:t>
      </w:r>
      <w:r w:rsidRPr="00182A32">
        <w:rPr>
          <w:vertAlign w:val="superscript"/>
        </w:rPr>
        <w:footnoteReference w:id="22"/>
      </w:r>
    </w:p>
    <w:p w14:paraId="260C2269" w14:textId="465C8DB3" w:rsidR="00B211D9" w:rsidRDefault="00182A32" w:rsidP="00544880">
      <w:pPr>
        <w:jc w:val="both"/>
        <w:rPr>
          <w:i/>
          <w:iCs/>
        </w:rPr>
      </w:pPr>
      <w:r w:rsidRPr="00182A32">
        <w:rPr>
          <w:i/>
          <w:iCs/>
        </w:rPr>
        <w:t>“…deliveries of water for the environment alone are not sufficient. Other measures, such as water quality management, riparian and floodplain management, pest control, instream habitat, river operations, constraints and works, and environmental water portfolio management are crucial to the achievement of long-term environmental outcomes.”</w:t>
      </w:r>
      <w:r w:rsidR="007818E9">
        <w:rPr>
          <w:rStyle w:val="FootnoteReference"/>
          <w:i/>
          <w:iCs/>
        </w:rPr>
        <w:footnoteReference w:id="23"/>
      </w:r>
    </w:p>
    <w:p w14:paraId="29C007AC" w14:textId="77777777" w:rsidR="001B1D30" w:rsidRDefault="007818E9" w:rsidP="00544880">
      <w:pPr>
        <w:jc w:val="both"/>
      </w:pPr>
      <w:r>
        <w:t xml:space="preserve">As understandings of Basin water management have matured over time, the value of </w:t>
      </w:r>
      <w:proofErr w:type="gramStart"/>
      <w:r>
        <w:t>projects in their own right, rather</w:t>
      </w:r>
      <w:proofErr w:type="gramEnd"/>
      <w:r>
        <w:t xml:space="preserve"> than just as a water recovery offset, have become increasingly recognised. </w:t>
      </w:r>
    </w:p>
    <w:p w14:paraId="5116FD01" w14:textId="41BA955E" w:rsidR="00182A32" w:rsidRPr="00AB1C75" w:rsidRDefault="001B1D30" w:rsidP="00AB1C75">
      <w:pPr>
        <w:jc w:val="both"/>
      </w:pPr>
      <w:r>
        <w:t xml:space="preserve">It is recognised that there are limitations in the role and jurisdiction of the Federal Government and MDBA to specifically water (as per legislative requirements), however, given the evidence-base is showing the importance of integrated and complementary measures (alongside water management) – focus must not shift to how future governance arrangements can look to manage for these outcomes. </w:t>
      </w:r>
    </w:p>
    <w:p w14:paraId="53AB0370" w14:textId="3747ADA9" w:rsidR="00AC5702" w:rsidRDefault="00B211D9" w:rsidP="00B211D9">
      <w:pPr>
        <w:jc w:val="center"/>
        <w:rPr>
          <w:b/>
          <w:bCs/>
          <w:i/>
          <w:iCs/>
          <w:color w:val="00538F" w:themeColor="accent1" w:themeShade="BF"/>
        </w:rPr>
      </w:pPr>
      <w:r>
        <w:rPr>
          <w:b/>
          <w:bCs/>
          <w:i/>
          <w:iCs/>
          <w:color w:val="00538F" w:themeColor="accent1" w:themeShade="BF"/>
        </w:rPr>
        <w:t>Recommendation</w:t>
      </w:r>
      <w:r w:rsidRPr="00E9306E">
        <w:rPr>
          <w:b/>
          <w:bCs/>
          <w:i/>
          <w:iCs/>
          <w:color w:val="00538F" w:themeColor="accent1" w:themeShade="BF"/>
        </w:rPr>
        <w:t xml:space="preserve"> </w:t>
      </w:r>
      <w:r w:rsidR="002438C3">
        <w:rPr>
          <w:b/>
          <w:bCs/>
          <w:i/>
          <w:iCs/>
          <w:color w:val="00538F" w:themeColor="accent1" w:themeShade="BF"/>
        </w:rPr>
        <w:t>8</w:t>
      </w:r>
      <w:r w:rsidRPr="00E9306E">
        <w:rPr>
          <w:b/>
          <w:bCs/>
          <w:i/>
          <w:iCs/>
          <w:color w:val="00538F" w:themeColor="accent1" w:themeShade="BF"/>
        </w:rPr>
        <w:t>:</w:t>
      </w:r>
    </w:p>
    <w:p w14:paraId="211BF40F" w14:textId="25A55B44" w:rsidR="00B211D9" w:rsidRDefault="00B211D9" w:rsidP="007452BD">
      <w:pPr>
        <w:jc w:val="both"/>
        <w:rPr>
          <w:b/>
          <w:bCs/>
          <w:i/>
          <w:iCs/>
          <w:color w:val="00538F" w:themeColor="accent1" w:themeShade="BF"/>
        </w:rPr>
      </w:pPr>
      <w:r>
        <w:rPr>
          <w:b/>
          <w:bCs/>
          <w:i/>
          <w:iCs/>
          <w:color w:val="00538F" w:themeColor="accent1" w:themeShade="BF"/>
        </w:rPr>
        <w:t xml:space="preserve"> In determining how to resolve SDLAM:</w:t>
      </w:r>
    </w:p>
    <w:p w14:paraId="486EADEE" w14:textId="77777777" w:rsidR="00B211D9" w:rsidRPr="00432B5A" w:rsidRDefault="00B211D9" w:rsidP="007452BD">
      <w:pPr>
        <w:pStyle w:val="ListParagraph"/>
        <w:numPr>
          <w:ilvl w:val="0"/>
          <w:numId w:val="21"/>
        </w:numPr>
        <w:jc w:val="both"/>
        <w:rPr>
          <w:b/>
          <w:bCs/>
          <w:i/>
          <w:iCs/>
          <w:color w:val="00538F" w:themeColor="accent1" w:themeShade="BF"/>
        </w:rPr>
      </w:pPr>
      <w:r w:rsidRPr="00432B5A">
        <w:rPr>
          <w:b/>
          <w:bCs/>
          <w:i/>
          <w:iCs/>
          <w:color w:val="00538F" w:themeColor="accent1" w:themeShade="BF"/>
        </w:rPr>
        <w:t>Consider it ‘complete’ at the point in which additional HEW recovery exceeds the supply contribution to create a neutral SDL adjustment; or to the extent this is not possible,</w:t>
      </w:r>
    </w:p>
    <w:p w14:paraId="62092E1C" w14:textId="3459D3ED" w:rsidR="00B211D9" w:rsidRPr="007452BD" w:rsidRDefault="2122D8F7" w:rsidP="007452BD">
      <w:pPr>
        <w:pStyle w:val="ListParagraph"/>
        <w:numPr>
          <w:ilvl w:val="0"/>
          <w:numId w:val="21"/>
        </w:numPr>
        <w:jc w:val="both"/>
        <w:rPr>
          <w:b/>
          <w:bCs/>
          <w:i/>
          <w:iCs/>
          <w:color w:val="00538F" w:themeColor="accent1" w:themeShade="BF"/>
        </w:rPr>
      </w:pPr>
      <w:r w:rsidRPr="00055A46">
        <w:rPr>
          <w:b/>
          <w:bCs/>
          <w:i/>
          <w:iCs/>
          <w:color w:val="00538F" w:themeColor="accent1" w:themeShade="BF"/>
        </w:rPr>
        <w:t>Account for any remaining water recoveries in response to SDLAM in the same manner as the Northern Basin Toolkit, via alternative investments that are outcomes focused and not linked to water targets but include accountability for delivery, as recommended by the Inspector General of Water Compliance</w:t>
      </w:r>
      <w:r w:rsidR="00055A46">
        <w:rPr>
          <w:b/>
          <w:bCs/>
          <w:i/>
          <w:iCs/>
          <w:color w:val="00538F" w:themeColor="accent1" w:themeShade="BF"/>
        </w:rPr>
        <w:t>.</w:t>
      </w:r>
    </w:p>
    <w:p w14:paraId="4C530C42" w14:textId="28D1AD1F" w:rsidR="0047391D" w:rsidRPr="0047391D" w:rsidRDefault="00005183" w:rsidP="007452BD">
      <w:pPr>
        <w:jc w:val="both"/>
        <w:rPr>
          <w:b/>
          <w:bCs/>
          <w:i/>
          <w:iCs/>
          <w:color w:val="00538F" w:themeColor="accent1" w:themeShade="BF"/>
        </w:rPr>
      </w:pPr>
      <w:r>
        <w:rPr>
          <w:b/>
          <w:bCs/>
          <w:i/>
          <w:iCs/>
          <w:color w:val="00538F" w:themeColor="accent1" w:themeShade="BF"/>
        </w:rPr>
        <w:t xml:space="preserve">Noting the above is the preferred option – as it enables resolution and stability </w:t>
      </w:r>
      <w:r w:rsidR="00E62AAC">
        <w:rPr>
          <w:b/>
          <w:bCs/>
          <w:i/>
          <w:iCs/>
          <w:color w:val="00538F" w:themeColor="accent1" w:themeShade="BF"/>
        </w:rPr>
        <w:t>and reflects contemporary water management</w:t>
      </w:r>
      <w:r w:rsidR="009F2ECE">
        <w:rPr>
          <w:b/>
          <w:bCs/>
          <w:i/>
          <w:iCs/>
          <w:color w:val="00538F" w:themeColor="accent1" w:themeShade="BF"/>
        </w:rPr>
        <w:t xml:space="preserve"> </w:t>
      </w:r>
      <w:r w:rsidR="00413A8F">
        <w:rPr>
          <w:b/>
          <w:bCs/>
          <w:i/>
          <w:iCs/>
          <w:color w:val="00538F" w:themeColor="accent1" w:themeShade="BF"/>
        </w:rPr>
        <w:t>- to</w:t>
      </w:r>
      <w:r w:rsidR="0047391D" w:rsidRPr="0047391D">
        <w:rPr>
          <w:b/>
          <w:bCs/>
          <w:i/>
          <w:iCs/>
          <w:color w:val="00538F" w:themeColor="accent1" w:themeShade="BF"/>
        </w:rPr>
        <w:t xml:space="preserve"> the extent that SDLAM continues to operate:</w:t>
      </w:r>
    </w:p>
    <w:p w14:paraId="2710D6E3" w14:textId="202648F8" w:rsidR="00EE2624" w:rsidRDefault="00EE2624" w:rsidP="007452BD">
      <w:pPr>
        <w:pStyle w:val="ListParagraph"/>
        <w:numPr>
          <w:ilvl w:val="0"/>
          <w:numId w:val="23"/>
        </w:numPr>
        <w:jc w:val="both"/>
        <w:rPr>
          <w:b/>
          <w:bCs/>
          <w:i/>
          <w:iCs/>
          <w:color w:val="00538F" w:themeColor="accent1" w:themeShade="BF"/>
        </w:rPr>
      </w:pPr>
      <w:r>
        <w:rPr>
          <w:b/>
          <w:bCs/>
          <w:i/>
          <w:iCs/>
          <w:color w:val="00538F" w:themeColor="accent1" w:themeShade="BF"/>
        </w:rPr>
        <w:t>No further changes from current SDLs, as communities cannot bear the burden of poor implementation by State Governments;</w:t>
      </w:r>
    </w:p>
    <w:p w14:paraId="26114D4C" w14:textId="7567B828" w:rsidR="0047391D" w:rsidRDefault="00005183" w:rsidP="007452BD">
      <w:pPr>
        <w:pStyle w:val="ListParagraph"/>
        <w:numPr>
          <w:ilvl w:val="0"/>
          <w:numId w:val="23"/>
        </w:numPr>
        <w:jc w:val="both"/>
        <w:rPr>
          <w:b/>
          <w:bCs/>
          <w:i/>
          <w:iCs/>
          <w:color w:val="00538F" w:themeColor="accent1" w:themeShade="BF"/>
        </w:rPr>
      </w:pPr>
      <w:r w:rsidRPr="00005183">
        <w:rPr>
          <w:b/>
          <w:bCs/>
          <w:i/>
          <w:iCs/>
          <w:color w:val="00538F" w:themeColor="accent1" w:themeShade="BF"/>
        </w:rPr>
        <w:t xml:space="preserve">There must be an ability to </w:t>
      </w:r>
      <w:r w:rsidR="009F2ECE">
        <w:rPr>
          <w:b/>
          <w:bCs/>
          <w:i/>
          <w:iCs/>
          <w:color w:val="00538F" w:themeColor="accent1" w:themeShade="BF"/>
        </w:rPr>
        <w:t>account for</w:t>
      </w:r>
      <w:r w:rsidR="00E62AAC">
        <w:rPr>
          <w:b/>
          <w:bCs/>
          <w:i/>
          <w:iCs/>
          <w:color w:val="00538F" w:themeColor="accent1" w:themeShade="BF"/>
        </w:rPr>
        <w:t xml:space="preserve"> projects as they are implemented over time, in a similar manner to how ‘varying HEW’ can be added post</w:t>
      </w:r>
      <w:r w:rsidR="005168B1">
        <w:rPr>
          <w:b/>
          <w:bCs/>
          <w:i/>
          <w:iCs/>
          <w:color w:val="00538F" w:themeColor="accent1" w:themeShade="BF"/>
        </w:rPr>
        <w:t>-r</w:t>
      </w:r>
      <w:r w:rsidR="00E62AAC">
        <w:rPr>
          <w:b/>
          <w:bCs/>
          <w:i/>
          <w:iCs/>
          <w:color w:val="00538F" w:themeColor="accent1" w:themeShade="BF"/>
        </w:rPr>
        <w:t xml:space="preserve">econciliation; </w:t>
      </w:r>
    </w:p>
    <w:p w14:paraId="27206041" w14:textId="5ACD5C38" w:rsidR="005168B1" w:rsidRPr="00005183" w:rsidRDefault="005168B1" w:rsidP="007452BD">
      <w:pPr>
        <w:pStyle w:val="ListParagraph"/>
        <w:numPr>
          <w:ilvl w:val="0"/>
          <w:numId w:val="23"/>
        </w:numPr>
        <w:jc w:val="both"/>
        <w:rPr>
          <w:b/>
          <w:bCs/>
          <w:i/>
          <w:iCs/>
          <w:color w:val="00538F" w:themeColor="accent1" w:themeShade="BF"/>
        </w:rPr>
      </w:pPr>
      <w:r>
        <w:rPr>
          <w:b/>
          <w:bCs/>
          <w:i/>
          <w:iCs/>
          <w:color w:val="00538F" w:themeColor="accent1" w:themeShade="BF"/>
        </w:rPr>
        <w:t xml:space="preserve">Flexibility is required to add new projects, reflective of todays environmental priorities, designed in genuine partnership with communities. </w:t>
      </w:r>
      <w:r w:rsidR="008A047F">
        <w:rPr>
          <w:b/>
          <w:bCs/>
          <w:i/>
          <w:iCs/>
          <w:color w:val="00538F" w:themeColor="accent1" w:themeShade="BF"/>
        </w:rPr>
        <w:t xml:space="preserve">This may include voluntary partnerships for environmental water delivery, as well as complementary measures. </w:t>
      </w:r>
    </w:p>
    <w:p w14:paraId="6A6F5A61" w14:textId="77777777" w:rsidR="00C11F4A" w:rsidRDefault="00C11F4A" w:rsidP="00C11F4A"/>
    <w:p w14:paraId="770F32D3" w14:textId="6A653C23" w:rsidR="00C11F4A" w:rsidRDefault="007452BD" w:rsidP="007452BD">
      <w:pPr>
        <w:pStyle w:val="Heading1"/>
      </w:pPr>
      <w:bookmarkStart w:id="25" w:name="_Toc243660167"/>
      <w:r>
        <w:t>Conclusion</w:t>
      </w:r>
      <w:bookmarkEnd w:id="25"/>
    </w:p>
    <w:p w14:paraId="3118D5E5" w14:textId="77777777" w:rsidR="007452BD" w:rsidRDefault="007452BD" w:rsidP="007452BD">
      <w:r>
        <w:t>Thank you for your consideration of the issues raised in this submission.</w:t>
      </w:r>
    </w:p>
    <w:p w14:paraId="42C769F9" w14:textId="75B6AE14" w:rsidR="007452BD" w:rsidRDefault="007452BD" w:rsidP="007452BD">
      <w:r>
        <w:t xml:space="preserve">Please feel welcome to contact us if you have any </w:t>
      </w:r>
      <w:r w:rsidR="00413A8F">
        <w:t>questions or</w:t>
      </w:r>
      <w:r>
        <w:t xml:space="preserve"> require any further information.</w:t>
      </w:r>
    </w:p>
    <w:p w14:paraId="18312805" w14:textId="77777777" w:rsidR="00C11F4A" w:rsidRDefault="00C11F4A" w:rsidP="00C11F4A">
      <w:pPr>
        <w:pStyle w:val="Heading1"/>
      </w:pPr>
    </w:p>
    <w:p w14:paraId="767A0517" w14:textId="77777777" w:rsidR="00C11F4A" w:rsidRPr="00C11F4A" w:rsidRDefault="00C11F4A" w:rsidP="00C11F4A"/>
    <w:sectPr w:rsidR="00C11F4A" w:rsidRPr="00C11F4A" w:rsidSect="00911A1E">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F40B7" w14:textId="77777777" w:rsidR="001F6484" w:rsidRDefault="001F6484" w:rsidP="00412E13">
      <w:pPr>
        <w:spacing w:after="0" w:line="240" w:lineRule="auto"/>
      </w:pPr>
      <w:r>
        <w:separator/>
      </w:r>
    </w:p>
  </w:endnote>
  <w:endnote w:type="continuationSeparator" w:id="0">
    <w:p w14:paraId="6A675DA2" w14:textId="77777777" w:rsidR="001F6484" w:rsidRDefault="001F6484" w:rsidP="00412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2180999"/>
      <w:docPartObj>
        <w:docPartGallery w:val="Page Numbers (Bottom of Page)"/>
        <w:docPartUnique/>
      </w:docPartObj>
    </w:sdtPr>
    <w:sdtEndPr>
      <w:rPr>
        <w:noProof/>
      </w:rPr>
    </w:sdtEndPr>
    <w:sdtContent>
      <w:p w14:paraId="2028D454" w14:textId="52CEE1B3" w:rsidR="00911A1E" w:rsidRDefault="00911A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901452" w14:textId="77777777" w:rsidR="00911A1E" w:rsidRDefault="00911A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2B966" w14:textId="77777777" w:rsidR="001F6484" w:rsidRDefault="001F6484" w:rsidP="00412E13">
      <w:pPr>
        <w:spacing w:after="0" w:line="240" w:lineRule="auto"/>
      </w:pPr>
      <w:r>
        <w:separator/>
      </w:r>
    </w:p>
  </w:footnote>
  <w:footnote w:type="continuationSeparator" w:id="0">
    <w:p w14:paraId="21CBA729" w14:textId="77777777" w:rsidR="001F6484" w:rsidRDefault="001F6484" w:rsidP="00412E13">
      <w:pPr>
        <w:spacing w:after="0" w:line="240" w:lineRule="auto"/>
      </w:pPr>
      <w:r>
        <w:continuationSeparator/>
      </w:r>
    </w:p>
  </w:footnote>
  <w:footnote w:id="1">
    <w:p w14:paraId="6FB29984" w14:textId="67A3112B" w:rsidR="00567E39" w:rsidRDefault="00567E39">
      <w:pPr>
        <w:pStyle w:val="FootnoteText"/>
      </w:pPr>
      <w:r>
        <w:rPr>
          <w:rStyle w:val="FootnoteReference"/>
        </w:rPr>
        <w:footnoteRef/>
      </w:r>
      <w:r>
        <w:t xml:space="preserve"> </w:t>
      </w:r>
      <w:hyperlink r:id="rId1" w:history="1">
        <w:r w:rsidRPr="00567E39">
          <w:rPr>
            <w:rStyle w:val="Hyperlink"/>
          </w:rPr>
          <w:t>2026 Sustainable diversion limit adjustment mechanism draft determination – reports and supporting documents | Murray–Darling Basin Authority</w:t>
        </w:r>
      </w:hyperlink>
      <w:r>
        <w:t xml:space="preserve"> </w:t>
      </w:r>
    </w:p>
  </w:footnote>
  <w:footnote w:id="2">
    <w:p w14:paraId="043E9047" w14:textId="50693FF9" w:rsidR="00F66F09" w:rsidRDefault="00F66F09">
      <w:pPr>
        <w:pStyle w:val="FootnoteText"/>
      </w:pPr>
      <w:r>
        <w:rPr>
          <w:rStyle w:val="FootnoteReference"/>
        </w:rPr>
        <w:footnoteRef/>
      </w:r>
      <w:r>
        <w:t xml:space="preserve"> </w:t>
      </w:r>
      <w:hyperlink r:id="rId2" w:history="1">
        <w:r w:rsidRPr="00F66F09">
          <w:rPr>
            <w:rStyle w:val="Hyperlink"/>
          </w:rPr>
          <w:t>SDL resource unit level supply contributions comparison (2017 and 2026)</w:t>
        </w:r>
      </w:hyperlink>
      <w:r>
        <w:t xml:space="preserve"> </w:t>
      </w:r>
    </w:p>
  </w:footnote>
  <w:footnote w:id="3">
    <w:p w14:paraId="78964FC9" w14:textId="4B02F01D" w:rsidR="1CDC7F50" w:rsidRDefault="1CDC7F50" w:rsidP="009F6722">
      <w:pPr>
        <w:pStyle w:val="FootnoteText"/>
      </w:pPr>
      <w:r w:rsidRPr="1CDC7F50">
        <w:rPr>
          <w:rStyle w:val="FootnoteReference"/>
        </w:rPr>
        <w:footnoteRef/>
      </w:r>
      <w:r w:rsidR="2314BF9E">
        <w:t xml:space="preserve">  DCCEEW website </w:t>
      </w:r>
      <w:r w:rsidR="097ADF20">
        <w:t>presents</w:t>
      </w:r>
      <w:r w:rsidR="4169C064">
        <w:t xml:space="preserve"> </w:t>
      </w:r>
      <w:r w:rsidR="74D73697">
        <w:t xml:space="preserve">a figure of </w:t>
      </w:r>
      <w:r w:rsidR="74BC25B4">
        <w:t xml:space="preserve">230GL (see </w:t>
      </w:r>
      <w:r w:rsidR="2B930ECF">
        <w:t>Figure 5 below)</w:t>
      </w:r>
    </w:p>
  </w:footnote>
  <w:footnote w:id="4">
    <w:p w14:paraId="6B0A14AE" w14:textId="7C2910E4" w:rsidR="5DE893CE" w:rsidRDefault="5DE893CE" w:rsidP="009F6722">
      <w:pPr>
        <w:pStyle w:val="FootnoteText"/>
      </w:pPr>
      <w:r w:rsidRPr="5DE893CE">
        <w:rPr>
          <w:rStyle w:val="FootnoteReference"/>
        </w:rPr>
        <w:footnoteRef/>
      </w:r>
      <w:r w:rsidR="148FFC93">
        <w:t xml:space="preserve"> </w:t>
      </w:r>
      <w:hyperlink r:id="rId3" w:history="1">
        <w:r w:rsidR="00FE31B0" w:rsidRPr="148FFC93">
          <w:rPr>
            <w:rStyle w:val="Hyperlink"/>
          </w:rPr>
          <w:t>Productivity</w:t>
        </w:r>
        <w:r w:rsidR="148FFC93" w:rsidRPr="148FFC93">
          <w:rPr>
            <w:rStyle w:val="Hyperlink"/>
          </w:rPr>
          <w:t xml:space="preserve"> Commission Murray Darling Basin Plan Inquiry –Implementation Review 2023</w:t>
        </w:r>
      </w:hyperlink>
    </w:p>
  </w:footnote>
  <w:footnote w:id="5">
    <w:p w14:paraId="46A0349B" w14:textId="7A02DE13" w:rsidR="00937C88" w:rsidRDefault="00937C88">
      <w:pPr>
        <w:pStyle w:val="FootnoteText"/>
      </w:pPr>
      <w:r>
        <w:rPr>
          <w:rStyle w:val="FootnoteReference"/>
        </w:rPr>
        <w:footnoteRef/>
      </w:r>
      <w:r>
        <w:t xml:space="preserve"> </w:t>
      </w:r>
      <w:hyperlink r:id="rId4" w:history="1">
        <w:r w:rsidRPr="00937C88">
          <w:rPr>
            <w:rStyle w:val="Hyperlink"/>
          </w:rPr>
          <w:t>ParlInfo - BILLS : Water Amendment (Long-term Average Sustainable Diversion Limit Adjustment) Bill 2012 : Second Reading</w:t>
        </w:r>
      </w:hyperlink>
      <w:r>
        <w:t xml:space="preserve"> </w:t>
      </w:r>
    </w:p>
  </w:footnote>
  <w:footnote w:id="6">
    <w:p w14:paraId="7270835C" w14:textId="00383B95" w:rsidR="00936B95" w:rsidRDefault="00936B95">
      <w:pPr>
        <w:pStyle w:val="FootnoteText"/>
      </w:pPr>
      <w:r>
        <w:rPr>
          <w:rStyle w:val="FootnoteReference"/>
        </w:rPr>
        <w:footnoteRef/>
      </w:r>
      <w:r>
        <w:t xml:space="preserve"> </w:t>
      </w:r>
      <w:hyperlink r:id="rId5" w:history="1">
        <w:r w:rsidRPr="00936B95">
          <w:rPr>
            <w:rStyle w:val="Hyperlink"/>
          </w:rPr>
          <w:t>ParlInfo - Water Amendment (Long-term Average Sustainable Diversion Limit Adjustment) Bill 2012</w:t>
        </w:r>
      </w:hyperlink>
      <w:r>
        <w:t xml:space="preserve"> </w:t>
      </w:r>
    </w:p>
  </w:footnote>
  <w:footnote w:id="7">
    <w:p w14:paraId="04889066" w14:textId="2D377FCD" w:rsidR="00670F30" w:rsidRDefault="00670F30">
      <w:pPr>
        <w:pStyle w:val="FootnoteText"/>
      </w:pPr>
      <w:r>
        <w:rPr>
          <w:rStyle w:val="FootnoteReference"/>
        </w:rPr>
        <w:footnoteRef/>
      </w:r>
      <w:r>
        <w:t xml:space="preserve"> </w:t>
      </w:r>
      <w:hyperlink r:id="rId6" w:history="1">
        <w:r w:rsidRPr="00670F30">
          <w:rPr>
            <w:rStyle w:val="Hyperlink"/>
          </w:rPr>
          <w:t>National Irrigators' Council - 'Moving Forward' Our Review of the Murray Darling Basin Plan</w:t>
        </w:r>
      </w:hyperlink>
      <w:r>
        <w:t xml:space="preserve"> </w:t>
      </w:r>
    </w:p>
  </w:footnote>
  <w:footnote w:id="8">
    <w:p w14:paraId="7855B9D2" w14:textId="6CE6CF76" w:rsidR="00B916BA" w:rsidRDefault="00B916BA">
      <w:pPr>
        <w:pStyle w:val="FootnoteText"/>
      </w:pPr>
      <w:r>
        <w:rPr>
          <w:rStyle w:val="FootnoteReference"/>
        </w:rPr>
        <w:footnoteRef/>
      </w:r>
      <w:r>
        <w:t xml:space="preserve"> </w:t>
      </w:r>
      <w:hyperlink r:id="rId7" w:history="1">
        <w:r w:rsidRPr="00B916BA">
          <w:rPr>
            <w:rStyle w:val="Hyperlink"/>
          </w:rPr>
          <w:t>Initial Sustainable Diversion Limit Assessments - Summary of Assessment Approach</w:t>
        </w:r>
      </w:hyperlink>
      <w:r>
        <w:t xml:space="preserve"> [P 7]. </w:t>
      </w:r>
    </w:p>
  </w:footnote>
  <w:footnote w:id="9">
    <w:p w14:paraId="0709C56F" w14:textId="77777777" w:rsidR="00F64CF8" w:rsidRPr="007F12A3" w:rsidRDefault="00F64CF8" w:rsidP="00BE00EF">
      <w:pPr>
        <w:pStyle w:val="FootnoteText"/>
        <w:rPr>
          <w:sz w:val="18"/>
          <w:szCs w:val="18"/>
        </w:rPr>
      </w:pPr>
      <w:r w:rsidRPr="007F12A3">
        <w:rPr>
          <w:rStyle w:val="FootnoteReference"/>
          <w:sz w:val="18"/>
          <w:szCs w:val="18"/>
        </w:rPr>
        <w:footnoteRef/>
      </w:r>
      <w:r w:rsidRPr="007F12A3">
        <w:rPr>
          <w:sz w:val="18"/>
          <w:szCs w:val="18"/>
        </w:rPr>
        <w:t xml:space="preserve"> </w:t>
      </w:r>
      <w:hyperlink r:id="rId8" w:history="1">
        <w:r w:rsidRPr="007F12A3">
          <w:rPr>
            <w:rStyle w:val="Hyperlink"/>
            <w:sz w:val="18"/>
            <w:szCs w:val="18"/>
          </w:rPr>
          <w:t>Sustainable Diversion Limit assessments - surface water - Groups - MDBA Library</w:t>
        </w:r>
      </w:hyperlink>
      <w:r w:rsidRPr="007F12A3">
        <w:rPr>
          <w:sz w:val="18"/>
          <w:szCs w:val="18"/>
        </w:rPr>
        <w:t>, see document for each valley.</w:t>
      </w:r>
    </w:p>
  </w:footnote>
  <w:footnote w:id="10">
    <w:p w14:paraId="1CE7D51F" w14:textId="77777777" w:rsidR="00F64CF8" w:rsidRDefault="00F64CF8" w:rsidP="00BE00EF">
      <w:pPr>
        <w:pStyle w:val="FootnoteText"/>
      </w:pPr>
      <w:r w:rsidRPr="007F12A3">
        <w:rPr>
          <w:rStyle w:val="FootnoteReference"/>
          <w:sz w:val="18"/>
          <w:szCs w:val="18"/>
        </w:rPr>
        <w:footnoteRef/>
      </w:r>
      <w:r w:rsidRPr="007F12A3">
        <w:rPr>
          <w:sz w:val="18"/>
          <w:szCs w:val="18"/>
        </w:rPr>
        <w:t xml:space="preserve"> Based on MDBA Registers of Take (2023-24, most recent), see final column ‘was the trigger exceeded’: </w:t>
      </w:r>
      <w:hyperlink r:id="rId9" w:history="1">
        <w:r w:rsidRPr="007F12A3">
          <w:rPr>
            <w:rStyle w:val="Hyperlink"/>
            <w:sz w:val="18"/>
            <w:szCs w:val="18"/>
          </w:rPr>
          <w:t>2023-24 Sustainable Diversion Limit Accounts</w:t>
        </w:r>
      </w:hyperlink>
      <w:r w:rsidRPr="007F12A3">
        <w:rPr>
          <w:sz w:val="18"/>
          <w:szCs w:val="18"/>
        </w:rPr>
        <w:t xml:space="preserve"> </w:t>
      </w:r>
    </w:p>
  </w:footnote>
  <w:footnote w:id="11">
    <w:p w14:paraId="48577EA2" w14:textId="77777777" w:rsidR="00F64CF8" w:rsidRPr="005E7B34" w:rsidRDefault="00F64CF8" w:rsidP="00BE00EF">
      <w:pPr>
        <w:pStyle w:val="FootnoteText"/>
        <w:rPr>
          <w:lang w:val="en-US"/>
        </w:rPr>
      </w:pPr>
      <w:r>
        <w:rPr>
          <w:rStyle w:val="FootnoteReference"/>
        </w:rPr>
        <w:footnoteRef/>
      </w:r>
      <w:r>
        <w:t xml:space="preserve"> </w:t>
      </w:r>
      <w:hyperlink r:id="rId10" w:history="1">
        <w:r w:rsidRPr="007F12A3">
          <w:rPr>
            <w:rStyle w:val="Hyperlink"/>
            <w:sz w:val="18"/>
            <w:szCs w:val="18"/>
          </w:rPr>
          <w:t>Sustainable Diversion Limit assessments - surface water - Groups - MDBA Library</w:t>
        </w:r>
      </w:hyperlink>
      <w:r w:rsidRPr="007F12A3">
        <w:rPr>
          <w:sz w:val="18"/>
          <w:szCs w:val="18"/>
        </w:rPr>
        <w:t>, see document for each valley.</w:t>
      </w:r>
    </w:p>
  </w:footnote>
  <w:footnote w:id="12">
    <w:p w14:paraId="5FA1F5C0" w14:textId="77777777" w:rsidR="00F64CF8" w:rsidRPr="005E7B34" w:rsidRDefault="00F64CF8" w:rsidP="00BE00EF">
      <w:pPr>
        <w:pStyle w:val="FootnoteText"/>
        <w:rPr>
          <w:lang w:val="en-US"/>
        </w:rPr>
      </w:pPr>
      <w:r>
        <w:rPr>
          <w:rStyle w:val="FootnoteReference"/>
        </w:rPr>
        <w:footnoteRef/>
      </w:r>
      <w:r>
        <w:t xml:space="preserve"> </w:t>
      </w:r>
      <w:r>
        <w:rPr>
          <w:lang w:val="en-US"/>
        </w:rPr>
        <w:t xml:space="preserve">Ibid. </w:t>
      </w:r>
    </w:p>
  </w:footnote>
  <w:footnote w:id="13">
    <w:p w14:paraId="635DABFA" w14:textId="77777777" w:rsidR="00F64CF8" w:rsidRPr="0082017B" w:rsidRDefault="00F64CF8" w:rsidP="00BE00EF">
      <w:pPr>
        <w:pStyle w:val="FootnoteText"/>
        <w:rPr>
          <w:lang w:val="en-US"/>
        </w:rPr>
      </w:pPr>
      <w:r>
        <w:rPr>
          <w:rStyle w:val="FootnoteReference"/>
        </w:rPr>
        <w:footnoteRef/>
      </w:r>
      <w:r>
        <w:t xml:space="preserve"> </w:t>
      </w:r>
      <w:r>
        <w:rPr>
          <w:lang w:val="en-US"/>
        </w:rPr>
        <w:t xml:space="preserve">Based on MDBA Initial SDL Assessments, and comparison of LoE1 to LoE2. </w:t>
      </w:r>
    </w:p>
  </w:footnote>
  <w:footnote w:id="14">
    <w:p w14:paraId="61410B10" w14:textId="77777777" w:rsidR="00F64CF8" w:rsidRDefault="00F64CF8" w:rsidP="00BE00EF">
      <w:pPr>
        <w:pStyle w:val="FootnoteText"/>
      </w:pPr>
      <w:r>
        <w:rPr>
          <w:rStyle w:val="FootnoteReference"/>
        </w:rPr>
        <w:footnoteRef/>
      </w:r>
      <w:r>
        <w:t xml:space="preserve"> Average total flow data for 1969-2025 equals 6,851GL whereas total entitlement for agricultural use is 354GL (total 608GL minus 254GL of environmental water entitlements via </w:t>
      </w:r>
      <w:hyperlink r:id="rId11" w:anchor=":~:text=Held%20Environmental%20Water%20(HEW),on%20the%20MyWater%20Water%20Register." w:history="1">
        <w:r w:rsidRPr="000E4CF7">
          <w:rPr>
            <w:rStyle w:val="Hyperlink"/>
          </w:rPr>
          <w:t>Environment SA</w:t>
        </w:r>
      </w:hyperlink>
      <w:r>
        <w:t xml:space="preserve">) , although use can be higher and lower than this entitlement volume due to trading (in and out of SA) and lower water availability during drought management arrangements. </w:t>
      </w:r>
    </w:p>
  </w:footnote>
  <w:footnote w:id="15">
    <w:p w14:paraId="6E94E793" w14:textId="77777777" w:rsidR="00F64CF8" w:rsidRPr="0015413A" w:rsidRDefault="00F64CF8" w:rsidP="00BE00EF">
      <w:pPr>
        <w:pStyle w:val="FootnoteText"/>
        <w:rPr>
          <w:lang w:val="en-US"/>
        </w:rPr>
      </w:pPr>
      <w:r>
        <w:rPr>
          <w:rStyle w:val="FootnoteReference"/>
        </w:rPr>
        <w:footnoteRef/>
      </w:r>
      <w:r>
        <w:t xml:space="preserve"> No figure provided in SDL assessments as “</w:t>
      </w:r>
      <w:r w:rsidRPr="00B33F48">
        <w:t>The flow regime remains relatively intact and expected to sustain water-dependent ecosystems.</w:t>
      </w:r>
      <w:r>
        <w:t>”</w:t>
      </w:r>
    </w:p>
  </w:footnote>
  <w:footnote w:id="16">
    <w:p w14:paraId="6184EBB6" w14:textId="77777777" w:rsidR="00F64CF8" w:rsidRPr="0015413A" w:rsidRDefault="00F64CF8" w:rsidP="00BE00EF">
      <w:pPr>
        <w:pStyle w:val="FootnoteText"/>
        <w:rPr>
          <w:lang w:val="en-US"/>
        </w:rPr>
      </w:pPr>
      <w:r>
        <w:rPr>
          <w:rStyle w:val="FootnoteReference"/>
        </w:rPr>
        <w:footnoteRef/>
      </w:r>
      <w:r>
        <w:t xml:space="preserve"> No figure provided in SDL assessments as “</w:t>
      </w:r>
      <w:r w:rsidRPr="00B33F48">
        <w:t>The flow regime remains relatively intact and expected to sustain water-dependent ecosystems.</w:t>
      </w:r>
      <w:r>
        <w:t>”</w:t>
      </w:r>
    </w:p>
    <w:p w14:paraId="435381F4" w14:textId="77777777" w:rsidR="00F64CF8" w:rsidRPr="00B76673" w:rsidRDefault="00F64CF8" w:rsidP="00BE00EF">
      <w:pPr>
        <w:pStyle w:val="FootnoteText"/>
        <w:rPr>
          <w:lang w:val="en-US"/>
        </w:rPr>
      </w:pPr>
      <w:r>
        <w:rPr>
          <w:lang w:val="en-US"/>
        </w:rPr>
        <w:t xml:space="preserve"> </w:t>
      </w:r>
    </w:p>
  </w:footnote>
  <w:footnote w:id="17">
    <w:p w14:paraId="44257B47" w14:textId="3FA8EE20" w:rsidR="003345C4" w:rsidRDefault="003345C4">
      <w:pPr>
        <w:pStyle w:val="FootnoteText"/>
      </w:pPr>
      <w:r>
        <w:rPr>
          <w:rStyle w:val="FootnoteReference"/>
        </w:rPr>
        <w:footnoteRef/>
      </w:r>
      <w:r>
        <w:t xml:space="preserve"> </w:t>
      </w:r>
      <w:hyperlink r:id="rId12" w:history="1">
        <w:r w:rsidR="00B02FDA" w:rsidRPr="00B02FDA">
          <w:rPr>
            <w:rStyle w:val="Hyperlink"/>
          </w:rPr>
          <w:t>Constraints Relaxation Implementation Roadmap</w:t>
        </w:r>
      </w:hyperlink>
      <w:r w:rsidR="00B02FDA">
        <w:t xml:space="preserve"> </w:t>
      </w:r>
    </w:p>
  </w:footnote>
  <w:footnote w:id="18">
    <w:p w14:paraId="1F1F9F90" w14:textId="77777777" w:rsidR="00C07FAB" w:rsidRDefault="00C07FAB" w:rsidP="00C07FAB">
      <w:pPr>
        <w:pStyle w:val="FootnoteText"/>
      </w:pPr>
      <w:r>
        <w:rPr>
          <w:rStyle w:val="FootnoteReference"/>
        </w:rPr>
        <w:footnoteRef/>
      </w:r>
      <w:r>
        <w:t xml:space="preserve"> </w:t>
      </w:r>
      <w:hyperlink r:id="rId13" w:history="1">
        <w:r w:rsidRPr="003E735D">
          <w:rPr>
            <w:rStyle w:val="Hyperlink"/>
          </w:rPr>
          <w:t>Constraints Relaxation Implementation Roadmap</w:t>
        </w:r>
      </w:hyperlink>
      <w:r>
        <w:t xml:space="preserve"> </w:t>
      </w:r>
    </w:p>
  </w:footnote>
  <w:footnote w:id="19">
    <w:p w14:paraId="3A67E465" w14:textId="77777777" w:rsidR="000F5DA8" w:rsidRDefault="000F5DA8" w:rsidP="000F5DA8">
      <w:pPr>
        <w:pStyle w:val="FootnoteText"/>
      </w:pPr>
      <w:r>
        <w:rPr>
          <w:rStyle w:val="FootnoteReference"/>
        </w:rPr>
        <w:footnoteRef/>
      </w:r>
      <w:r>
        <w:t xml:space="preserve"> </w:t>
      </w:r>
      <w:hyperlink r:id="rId14" w:history="1">
        <w:r w:rsidRPr="00E4447A">
          <w:rPr>
            <w:rStyle w:val="Hyperlink"/>
          </w:rPr>
          <w:t>Sustainable Diversion Limit Adjustment Mechanism (SDLAM) Reconciliation Framework</w:t>
        </w:r>
      </w:hyperlink>
      <w:r>
        <w:t xml:space="preserve"> [P 17]. </w:t>
      </w:r>
    </w:p>
  </w:footnote>
  <w:footnote w:id="20">
    <w:p w14:paraId="1CC42D56" w14:textId="77777777" w:rsidR="000B5C33" w:rsidRDefault="000B5C33" w:rsidP="000B5C33">
      <w:pPr>
        <w:pStyle w:val="FootnoteText"/>
      </w:pPr>
      <w:r>
        <w:rPr>
          <w:rStyle w:val="FootnoteReference"/>
        </w:rPr>
        <w:footnoteRef/>
      </w:r>
      <w:hyperlink r:id="rId15" w:history="1">
        <w:r w:rsidRPr="00BA4B70">
          <w:rPr>
            <w:rStyle w:val="Hyperlink"/>
          </w:rPr>
          <w:t xml:space="preserve"> Intergovernmental Agreement on Implementing the Murray Darling Basin Plan </w:t>
        </w:r>
      </w:hyperlink>
    </w:p>
  </w:footnote>
  <w:footnote w:id="21">
    <w:p w14:paraId="2A880281" w14:textId="7E1480E3" w:rsidR="00391FB8" w:rsidRDefault="00391FB8">
      <w:pPr>
        <w:pStyle w:val="FootnoteText"/>
      </w:pPr>
      <w:r>
        <w:rPr>
          <w:rStyle w:val="FootnoteReference"/>
        </w:rPr>
        <w:footnoteRef/>
      </w:r>
      <w:r>
        <w:t xml:space="preserve"> </w:t>
      </w:r>
      <w:hyperlink r:id="rId16" w:history="1">
        <w:r w:rsidRPr="00391FB8">
          <w:rPr>
            <w:rStyle w:val="Hyperlink"/>
          </w:rPr>
          <w:t>Sustainable Diversion Limit Adjustment Mechanism (SDLAM) Reconciliation Framework</w:t>
        </w:r>
      </w:hyperlink>
      <w:r>
        <w:t xml:space="preserve"> </w:t>
      </w:r>
    </w:p>
  </w:footnote>
  <w:footnote w:id="22">
    <w:p w14:paraId="54313F99" w14:textId="671E76DE" w:rsidR="005E33E5" w:rsidRDefault="005E33E5">
      <w:pPr>
        <w:pStyle w:val="FootnoteText"/>
      </w:pPr>
      <w:r>
        <w:rPr>
          <w:rStyle w:val="FootnoteReference"/>
        </w:rPr>
        <w:footnoteRef/>
      </w:r>
      <w:r>
        <w:t xml:space="preserve"> </w:t>
      </w:r>
      <w:hyperlink r:id="rId17" w:history="1">
        <w:r w:rsidR="009B7353" w:rsidRPr="009B7353">
          <w:rPr>
            <w:rStyle w:val="Hyperlink"/>
          </w:rPr>
          <w:t>2025 Basin Plan Evaluation | Murray–Darling Basin Authority</w:t>
        </w:r>
      </w:hyperlink>
      <w:r w:rsidR="009B7353">
        <w:t xml:space="preserve"> [P 4]. </w:t>
      </w:r>
    </w:p>
  </w:footnote>
  <w:footnote w:id="23">
    <w:p w14:paraId="67B4E664" w14:textId="39244514" w:rsidR="007818E9" w:rsidRDefault="007818E9">
      <w:pPr>
        <w:pStyle w:val="FootnoteText"/>
      </w:pPr>
      <w:r>
        <w:rPr>
          <w:rStyle w:val="FootnoteReference"/>
        </w:rPr>
        <w:footnoteRef/>
      </w:r>
      <w:r>
        <w:t xml:space="preserve"> </w:t>
      </w:r>
      <w:hyperlink r:id="rId18" w:history="1">
        <w:r w:rsidRPr="009B7353">
          <w:rPr>
            <w:rStyle w:val="Hyperlink"/>
          </w:rPr>
          <w:t>2025 Basin Plan Evaluation | Murray–Darling Basin Authority</w:t>
        </w:r>
      </w:hyperlink>
      <w:r>
        <w:t xml:space="preserve"> [P 42].</w:t>
      </w:r>
    </w:p>
  </w:footnote>
</w:footnotes>
</file>

<file path=word/intelligence2.xml><?xml version="1.0" encoding="utf-8"?>
<int2:intelligence xmlns:int2="http://schemas.microsoft.com/office/intelligence/2020/intelligence" xmlns:oel="http://schemas.microsoft.com/office/2019/extlst">
  <int2:observations>
    <int2:textHash int2:hashCode="K5k3SIcfUZsfuT" int2:id="EOD1Hm4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84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A90070"/>
    <w:multiLevelType w:val="hybridMultilevel"/>
    <w:tmpl w:val="C85E45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A945A4"/>
    <w:multiLevelType w:val="hybridMultilevel"/>
    <w:tmpl w:val="BA1AE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2711CC"/>
    <w:multiLevelType w:val="hybridMultilevel"/>
    <w:tmpl w:val="E8D86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5F691A"/>
    <w:multiLevelType w:val="hybridMultilevel"/>
    <w:tmpl w:val="A9BE51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EE46F6"/>
    <w:multiLevelType w:val="hybridMultilevel"/>
    <w:tmpl w:val="07407424"/>
    <w:lvl w:ilvl="0" w:tplc="47168598">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912EEA"/>
    <w:multiLevelType w:val="hybridMultilevel"/>
    <w:tmpl w:val="28BAE5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07F3C40"/>
    <w:multiLevelType w:val="hybridMultilevel"/>
    <w:tmpl w:val="4D8C76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F278FC"/>
    <w:multiLevelType w:val="hybridMultilevel"/>
    <w:tmpl w:val="7B782DD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BAA3C06"/>
    <w:multiLevelType w:val="hybridMultilevel"/>
    <w:tmpl w:val="933CCDDE"/>
    <w:lvl w:ilvl="0" w:tplc="47168598">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E8D6BD1"/>
    <w:multiLevelType w:val="hybridMultilevel"/>
    <w:tmpl w:val="DD28D1B2"/>
    <w:lvl w:ilvl="0" w:tplc="47168598">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F2E0CCB"/>
    <w:multiLevelType w:val="hybridMultilevel"/>
    <w:tmpl w:val="EED61BDA"/>
    <w:lvl w:ilvl="0" w:tplc="47168598">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29D557D"/>
    <w:multiLevelType w:val="hybridMultilevel"/>
    <w:tmpl w:val="A550A1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AC11937"/>
    <w:multiLevelType w:val="multilevel"/>
    <w:tmpl w:val="26A27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E20901"/>
    <w:multiLevelType w:val="hybridMultilevel"/>
    <w:tmpl w:val="48F41A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6B3816"/>
    <w:multiLevelType w:val="hybridMultilevel"/>
    <w:tmpl w:val="B11C2930"/>
    <w:lvl w:ilvl="0" w:tplc="47168598">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7DC5C33"/>
    <w:multiLevelType w:val="hybridMultilevel"/>
    <w:tmpl w:val="7946F5A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E3E2B82"/>
    <w:multiLevelType w:val="hybridMultilevel"/>
    <w:tmpl w:val="CC9C1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256376E"/>
    <w:multiLevelType w:val="multilevel"/>
    <w:tmpl w:val="8E166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CF5DC9"/>
    <w:multiLevelType w:val="hybridMultilevel"/>
    <w:tmpl w:val="7946F5A8"/>
    <w:lvl w:ilvl="0" w:tplc="2A54228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33D62BC"/>
    <w:multiLevelType w:val="hybridMultilevel"/>
    <w:tmpl w:val="8B1046EA"/>
    <w:lvl w:ilvl="0" w:tplc="FD0678D2">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695D63D0"/>
    <w:multiLevelType w:val="hybridMultilevel"/>
    <w:tmpl w:val="F496A4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BB54BE2"/>
    <w:multiLevelType w:val="hybridMultilevel"/>
    <w:tmpl w:val="77FC98F0"/>
    <w:lvl w:ilvl="0" w:tplc="F09067B8">
      <w:numFmt w:val="bullet"/>
      <w:lvlText w:val="•"/>
      <w:lvlJc w:val="left"/>
      <w:pPr>
        <w:ind w:left="720" w:hanging="720"/>
      </w:pPr>
      <w:rPr>
        <w:rFonts w:ascii="Aptos" w:eastAsiaTheme="minorHAnsi" w:hAnsi="Aptos"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D9D5D8B"/>
    <w:multiLevelType w:val="hybridMultilevel"/>
    <w:tmpl w:val="EE364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5A1769A"/>
    <w:multiLevelType w:val="hybridMultilevel"/>
    <w:tmpl w:val="62A27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98998007">
    <w:abstractNumId w:val="4"/>
  </w:num>
  <w:num w:numId="2" w16cid:durableId="1135567912">
    <w:abstractNumId w:val="2"/>
  </w:num>
  <w:num w:numId="3" w16cid:durableId="1131635268">
    <w:abstractNumId w:val="18"/>
  </w:num>
  <w:num w:numId="4" w16cid:durableId="2053580166">
    <w:abstractNumId w:val="13"/>
  </w:num>
  <w:num w:numId="5" w16cid:durableId="917716982">
    <w:abstractNumId w:val="24"/>
  </w:num>
  <w:num w:numId="6" w16cid:durableId="868031735">
    <w:abstractNumId w:val="21"/>
  </w:num>
  <w:num w:numId="7" w16cid:durableId="569847852">
    <w:abstractNumId w:val="12"/>
  </w:num>
  <w:num w:numId="8" w16cid:durableId="2088308143">
    <w:abstractNumId w:val="7"/>
  </w:num>
  <w:num w:numId="9" w16cid:durableId="475879177">
    <w:abstractNumId w:val="8"/>
  </w:num>
  <w:num w:numId="10" w16cid:durableId="1098596206">
    <w:abstractNumId w:val="6"/>
  </w:num>
  <w:num w:numId="11" w16cid:durableId="170607150">
    <w:abstractNumId w:val="19"/>
  </w:num>
  <w:num w:numId="12" w16cid:durableId="1618876810">
    <w:abstractNumId w:val="23"/>
  </w:num>
  <w:num w:numId="13" w16cid:durableId="530194772">
    <w:abstractNumId w:val="17"/>
  </w:num>
  <w:num w:numId="14" w16cid:durableId="1421297732">
    <w:abstractNumId w:val="16"/>
  </w:num>
  <w:num w:numId="15" w16cid:durableId="1730150474">
    <w:abstractNumId w:val="14"/>
  </w:num>
  <w:num w:numId="16" w16cid:durableId="342977229">
    <w:abstractNumId w:val="20"/>
  </w:num>
  <w:num w:numId="17" w16cid:durableId="1765228474">
    <w:abstractNumId w:val="1"/>
  </w:num>
  <w:num w:numId="18" w16cid:durableId="175195300">
    <w:abstractNumId w:val="3"/>
  </w:num>
  <w:num w:numId="19" w16cid:durableId="979723171">
    <w:abstractNumId w:val="9"/>
  </w:num>
  <w:num w:numId="20" w16cid:durableId="1871331399">
    <w:abstractNumId w:val="5"/>
  </w:num>
  <w:num w:numId="21" w16cid:durableId="187184552">
    <w:abstractNumId w:val="11"/>
  </w:num>
  <w:num w:numId="22" w16cid:durableId="585765510">
    <w:abstractNumId w:val="15"/>
  </w:num>
  <w:num w:numId="23" w16cid:durableId="1735468989">
    <w:abstractNumId w:val="10"/>
  </w:num>
  <w:num w:numId="24" w16cid:durableId="1435397981">
    <w:abstractNumId w:val="0"/>
  </w:num>
  <w:num w:numId="25" w16cid:durableId="64998860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E13"/>
    <w:rsid w:val="00000F96"/>
    <w:rsid w:val="0000113D"/>
    <w:rsid w:val="0000120C"/>
    <w:rsid w:val="0000131A"/>
    <w:rsid w:val="00002080"/>
    <w:rsid w:val="0000237F"/>
    <w:rsid w:val="0000453C"/>
    <w:rsid w:val="00004769"/>
    <w:rsid w:val="00005092"/>
    <w:rsid w:val="00005183"/>
    <w:rsid w:val="00005C34"/>
    <w:rsid w:val="000064AA"/>
    <w:rsid w:val="00006C24"/>
    <w:rsid w:val="00007926"/>
    <w:rsid w:val="00010F73"/>
    <w:rsid w:val="0001130B"/>
    <w:rsid w:val="00011BEB"/>
    <w:rsid w:val="00011D01"/>
    <w:rsid w:val="00013A7C"/>
    <w:rsid w:val="0001514C"/>
    <w:rsid w:val="00015D38"/>
    <w:rsid w:val="000201B2"/>
    <w:rsid w:val="0002099F"/>
    <w:rsid w:val="00020DB6"/>
    <w:rsid w:val="00022E29"/>
    <w:rsid w:val="00023B34"/>
    <w:rsid w:val="00023E94"/>
    <w:rsid w:val="0002434B"/>
    <w:rsid w:val="00025179"/>
    <w:rsid w:val="000264B7"/>
    <w:rsid w:val="00026CC2"/>
    <w:rsid w:val="000275E0"/>
    <w:rsid w:val="0003092E"/>
    <w:rsid w:val="00030A3D"/>
    <w:rsid w:val="000314BA"/>
    <w:rsid w:val="00031C91"/>
    <w:rsid w:val="00032708"/>
    <w:rsid w:val="00032A3C"/>
    <w:rsid w:val="00032F85"/>
    <w:rsid w:val="00033B7A"/>
    <w:rsid w:val="00033F7F"/>
    <w:rsid w:val="0003415E"/>
    <w:rsid w:val="000350CA"/>
    <w:rsid w:val="000351E0"/>
    <w:rsid w:val="000356F4"/>
    <w:rsid w:val="000370F1"/>
    <w:rsid w:val="0003717D"/>
    <w:rsid w:val="0003750B"/>
    <w:rsid w:val="00037B74"/>
    <w:rsid w:val="00040C5C"/>
    <w:rsid w:val="00041098"/>
    <w:rsid w:val="0004257B"/>
    <w:rsid w:val="00043985"/>
    <w:rsid w:val="000442E0"/>
    <w:rsid w:val="00044EEC"/>
    <w:rsid w:val="00046184"/>
    <w:rsid w:val="00047057"/>
    <w:rsid w:val="00050064"/>
    <w:rsid w:val="00050E9F"/>
    <w:rsid w:val="00050EBD"/>
    <w:rsid w:val="00051650"/>
    <w:rsid w:val="000530B4"/>
    <w:rsid w:val="00054683"/>
    <w:rsid w:val="0005470E"/>
    <w:rsid w:val="00054933"/>
    <w:rsid w:val="00054D70"/>
    <w:rsid w:val="00055A46"/>
    <w:rsid w:val="00056267"/>
    <w:rsid w:val="00056AC4"/>
    <w:rsid w:val="00060D10"/>
    <w:rsid w:val="00060E7F"/>
    <w:rsid w:val="000613C5"/>
    <w:rsid w:val="00061838"/>
    <w:rsid w:val="000640FF"/>
    <w:rsid w:val="00064873"/>
    <w:rsid w:val="00064CA8"/>
    <w:rsid w:val="000667AE"/>
    <w:rsid w:val="00067F73"/>
    <w:rsid w:val="00070182"/>
    <w:rsid w:val="000704A0"/>
    <w:rsid w:val="00070944"/>
    <w:rsid w:val="00071136"/>
    <w:rsid w:val="00073856"/>
    <w:rsid w:val="000744EC"/>
    <w:rsid w:val="00074F61"/>
    <w:rsid w:val="00076C94"/>
    <w:rsid w:val="000775C8"/>
    <w:rsid w:val="00077719"/>
    <w:rsid w:val="00080C3B"/>
    <w:rsid w:val="000822BE"/>
    <w:rsid w:val="000836AA"/>
    <w:rsid w:val="00084214"/>
    <w:rsid w:val="00084656"/>
    <w:rsid w:val="00084B21"/>
    <w:rsid w:val="00084C10"/>
    <w:rsid w:val="00085636"/>
    <w:rsid w:val="00086172"/>
    <w:rsid w:val="0008638C"/>
    <w:rsid w:val="00086746"/>
    <w:rsid w:val="00090532"/>
    <w:rsid w:val="00090B15"/>
    <w:rsid w:val="00090F8A"/>
    <w:rsid w:val="00090FA5"/>
    <w:rsid w:val="00091795"/>
    <w:rsid w:val="0009190B"/>
    <w:rsid w:val="00091F34"/>
    <w:rsid w:val="000925ED"/>
    <w:rsid w:val="00092EB3"/>
    <w:rsid w:val="00093138"/>
    <w:rsid w:val="00093301"/>
    <w:rsid w:val="0009441F"/>
    <w:rsid w:val="00095116"/>
    <w:rsid w:val="00096FB0"/>
    <w:rsid w:val="00097466"/>
    <w:rsid w:val="00097552"/>
    <w:rsid w:val="0009792A"/>
    <w:rsid w:val="000A1AC5"/>
    <w:rsid w:val="000A24AE"/>
    <w:rsid w:val="000A2657"/>
    <w:rsid w:val="000A5FAA"/>
    <w:rsid w:val="000A6FEA"/>
    <w:rsid w:val="000A7854"/>
    <w:rsid w:val="000A7F98"/>
    <w:rsid w:val="000B04FC"/>
    <w:rsid w:val="000B1324"/>
    <w:rsid w:val="000B1792"/>
    <w:rsid w:val="000B1D97"/>
    <w:rsid w:val="000B2E52"/>
    <w:rsid w:val="000B3BE0"/>
    <w:rsid w:val="000B3D8A"/>
    <w:rsid w:val="000B3F0B"/>
    <w:rsid w:val="000B44C4"/>
    <w:rsid w:val="000B4CB5"/>
    <w:rsid w:val="000B5137"/>
    <w:rsid w:val="000B569D"/>
    <w:rsid w:val="000B58B8"/>
    <w:rsid w:val="000B58BC"/>
    <w:rsid w:val="000B5C33"/>
    <w:rsid w:val="000B67B8"/>
    <w:rsid w:val="000B68B5"/>
    <w:rsid w:val="000C05AF"/>
    <w:rsid w:val="000C1DFE"/>
    <w:rsid w:val="000C2229"/>
    <w:rsid w:val="000C2657"/>
    <w:rsid w:val="000C29C7"/>
    <w:rsid w:val="000C2C33"/>
    <w:rsid w:val="000C4525"/>
    <w:rsid w:val="000C5017"/>
    <w:rsid w:val="000C6361"/>
    <w:rsid w:val="000C65BB"/>
    <w:rsid w:val="000C73AE"/>
    <w:rsid w:val="000C795A"/>
    <w:rsid w:val="000C7BFD"/>
    <w:rsid w:val="000C7D2A"/>
    <w:rsid w:val="000D140A"/>
    <w:rsid w:val="000D14E2"/>
    <w:rsid w:val="000D2107"/>
    <w:rsid w:val="000D2586"/>
    <w:rsid w:val="000D3957"/>
    <w:rsid w:val="000D404D"/>
    <w:rsid w:val="000D4D4F"/>
    <w:rsid w:val="000E155F"/>
    <w:rsid w:val="000E1752"/>
    <w:rsid w:val="000E2125"/>
    <w:rsid w:val="000E2A14"/>
    <w:rsid w:val="000E337D"/>
    <w:rsid w:val="000E33C9"/>
    <w:rsid w:val="000E4216"/>
    <w:rsid w:val="000E447B"/>
    <w:rsid w:val="000E4A24"/>
    <w:rsid w:val="000E53A3"/>
    <w:rsid w:val="000E5DF1"/>
    <w:rsid w:val="000E5F22"/>
    <w:rsid w:val="000E6912"/>
    <w:rsid w:val="000F09CF"/>
    <w:rsid w:val="000F13F5"/>
    <w:rsid w:val="000F247E"/>
    <w:rsid w:val="000F2919"/>
    <w:rsid w:val="000F2F2F"/>
    <w:rsid w:val="000F3351"/>
    <w:rsid w:val="000F46D9"/>
    <w:rsid w:val="000F4810"/>
    <w:rsid w:val="000F5547"/>
    <w:rsid w:val="000F5A65"/>
    <w:rsid w:val="000F5B79"/>
    <w:rsid w:val="000F5D21"/>
    <w:rsid w:val="000F5DA8"/>
    <w:rsid w:val="000F6A38"/>
    <w:rsid w:val="0010024A"/>
    <w:rsid w:val="0010056F"/>
    <w:rsid w:val="0010120A"/>
    <w:rsid w:val="0010198D"/>
    <w:rsid w:val="00101E9A"/>
    <w:rsid w:val="0010313E"/>
    <w:rsid w:val="0010344E"/>
    <w:rsid w:val="001055F3"/>
    <w:rsid w:val="00105C95"/>
    <w:rsid w:val="00106025"/>
    <w:rsid w:val="00106955"/>
    <w:rsid w:val="00106B55"/>
    <w:rsid w:val="0010704E"/>
    <w:rsid w:val="0010718F"/>
    <w:rsid w:val="0010720D"/>
    <w:rsid w:val="00110E1A"/>
    <w:rsid w:val="00111E2F"/>
    <w:rsid w:val="00112839"/>
    <w:rsid w:val="00113020"/>
    <w:rsid w:val="00113115"/>
    <w:rsid w:val="00113BD1"/>
    <w:rsid w:val="00113EC0"/>
    <w:rsid w:val="0011491F"/>
    <w:rsid w:val="00114B29"/>
    <w:rsid w:val="00115CAD"/>
    <w:rsid w:val="00116578"/>
    <w:rsid w:val="001204AB"/>
    <w:rsid w:val="0012103E"/>
    <w:rsid w:val="00123A98"/>
    <w:rsid w:val="00123F05"/>
    <w:rsid w:val="00124E6C"/>
    <w:rsid w:val="00125001"/>
    <w:rsid w:val="00125F1A"/>
    <w:rsid w:val="001264AF"/>
    <w:rsid w:val="00127550"/>
    <w:rsid w:val="00127667"/>
    <w:rsid w:val="001276D3"/>
    <w:rsid w:val="00127D55"/>
    <w:rsid w:val="00130FDF"/>
    <w:rsid w:val="00131DC9"/>
    <w:rsid w:val="001336A5"/>
    <w:rsid w:val="001337F3"/>
    <w:rsid w:val="001342DE"/>
    <w:rsid w:val="00134B7E"/>
    <w:rsid w:val="001357FE"/>
    <w:rsid w:val="001358C1"/>
    <w:rsid w:val="0013617F"/>
    <w:rsid w:val="00136574"/>
    <w:rsid w:val="001369DF"/>
    <w:rsid w:val="00136D09"/>
    <w:rsid w:val="0013701D"/>
    <w:rsid w:val="00140331"/>
    <w:rsid w:val="00140A93"/>
    <w:rsid w:val="00140FF1"/>
    <w:rsid w:val="001410FF"/>
    <w:rsid w:val="00141519"/>
    <w:rsid w:val="00142D58"/>
    <w:rsid w:val="0014312E"/>
    <w:rsid w:val="00143D4A"/>
    <w:rsid w:val="00143E54"/>
    <w:rsid w:val="00144CA4"/>
    <w:rsid w:val="00144E11"/>
    <w:rsid w:val="001465F4"/>
    <w:rsid w:val="001473C3"/>
    <w:rsid w:val="001473E9"/>
    <w:rsid w:val="00147418"/>
    <w:rsid w:val="00147634"/>
    <w:rsid w:val="001477B4"/>
    <w:rsid w:val="00147E3B"/>
    <w:rsid w:val="00151DC4"/>
    <w:rsid w:val="00152CF6"/>
    <w:rsid w:val="001541FE"/>
    <w:rsid w:val="00154831"/>
    <w:rsid w:val="0015501F"/>
    <w:rsid w:val="0015523F"/>
    <w:rsid w:val="0015578C"/>
    <w:rsid w:val="00155834"/>
    <w:rsid w:val="00155A8C"/>
    <w:rsid w:val="0016080D"/>
    <w:rsid w:val="00163369"/>
    <w:rsid w:val="00164152"/>
    <w:rsid w:val="00164210"/>
    <w:rsid w:val="00166E46"/>
    <w:rsid w:val="001672AC"/>
    <w:rsid w:val="00171E8D"/>
    <w:rsid w:val="00172102"/>
    <w:rsid w:val="00172284"/>
    <w:rsid w:val="00172C97"/>
    <w:rsid w:val="001735B2"/>
    <w:rsid w:val="00173BE9"/>
    <w:rsid w:val="00174B12"/>
    <w:rsid w:val="00177C51"/>
    <w:rsid w:val="0018015A"/>
    <w:rsid w:val="001805BE"/>
    <w:rsid w:val="00180F6C"/>
    <w:rsid w:val="00181317"/>
    <w:rsid w:val="0018261E"/>
    <w:rsid w:val="001828F4"/>
    <w:rsid w:val="001829FD"/>
    <w:rsid w:val="00182A32"/>
    <w:rsid w:val="00182C56"/>
    <w:rsid w:val="0018356C"/>
    <w:rsid w:val="00185C9B"/>
    <w:rsid w:val="0019094B"/>
    <w:rsid w:val="00190BE4"/>
    <w:rsid w:val="00191408"/>
    <w:rsid w:val="00191D1F"/>
    <w:rsid w:val="00192A16"/>
    <w:rsid w:val="00192AAD"/>
    <w:rsid w:val="00193735"/>
    <w:rsid w:val="001939CD"/>
    <w:rsid w:val="00193E5D"/>
    <w:rsid w:val="001941D6"/>
    <w:rsid w:val="001942D6"/>
    <w:rsid w:val="00194E4F"/>
    <w:rsid w:val="0019526D"/>
    <w:rsid w:val="00195BD0"/>
    <w:rsid w:val="001966E2"/>
    <w:rsid w:val="0019714D"/>
    <w:rsid w:val="001A0ACA"/>
    <w:rsid w:val="001A17F0"/>
    <w:rsid w:val="001A2946"/>
    <w:rsid w:val="001A2F6F"/>
    <w:rsid w:val="001A52C4"/>
    <w:rsid w:val="001A5A05"/>
    <w:rsid w:val="001A644E"/>
    <w:rsid w:val="001A6484"/>
    <w:rsid w:val="001A75F0"/>
    <w:rsid w:val="001B0FE8"/>
    <w:rsid w:val="001B1135"/>
    <w:rsid w:val="001B1C67"/>
    <w:rsid w:val="001B1D30"/>
    <w:rsid w:val="001B24DB"/>
    <w:rsid w:val="001B28B5"/>
    <w:rsid w:val="001B2C64"/>
    <w:rsid w:val="001B38AB"/>
    <w:rsid w:val="001B427C"/>
    <w:rsid w:val="001B68D5"/>
    <w:rsid w:val="001B6C66"/>
    <w:rsid w:val="001C0024"/>
    <w:rsid w:val="001C0042"/>
    <w:rsid w:val="001C0FA9"/>
    <w:rsid w:val="001C12A5"/>
    <w:rsid w:val="001C17D4"/>
    <w:rsid w:val="001C19A2"/>
    <w:rsid w:val="001C50E3"/>
    <w:rsid w:val="001C684D"/>
    <w:rsid w:val="001C698D"/>
    <w:rsid w:val="001D0B08"/>
    <w:rsid w:val="001D14F4"/>
    <w:rsid w:val="001D1A1B"/>
    <w:rsid w:val="001D2429"/>
    <w:rsid w:val="001D2A8B"/>
    <w:rsid w:val="001D420D"/>
    <w:rsid w:val="001D53E7"/>
    <w:rsid w:val="001D5681"/>
    <w:rsid w:val="001D7D0B"/>
    <w:rsid w:val="001E09F9"/>
    <w:rsid w:val="001E0BD8"/>
    <w:rsid w:val="001E1601"/>
    <w:rsid w:val="001E17E4"/>
    <w:rsid w:val="001E196B"/>
    <w:rsid w:val="001E1D72"/>
    <w:rsid w:val="001E2735"/>
    <w:rsid w:val="001E371B"/>
    <w:rsid w:val="001E4C24"/>
    <w:rsid w:val="001E596A"/>
    <w:rsid w:val="001F164D"/>
    <w:rsid w:val="001F1781"/>
    <w:rsid w:val="001F1947"/>
    <w:rsid w:val="001F2592"/>
    <w:rsid w:val="001F2E11"/>
    <w:rsid w:val="001F3220"/>
    <w:rsid w:val="001F38AE"/>
    <w:rsid w:val="001F4142"/>
    <w:rsid w:val="001F469D"/>
    <w:rsid w:val="001F532F"/>
    <w:rsid w:val="001F6484"/>
    <w:rsid w:val="0020296E"/>
    <w:rsid w:val="00202CF8"/>
    <w:rsid w:val="0020356A"/>
    <w:rsid w:val="00203640"/>
    <w:rsid w:val="0020589F"/>
    <w:rsid w:val="00205AD5"/>
    <w:rsid w:val="002061C0"/>
    <w:rsid w:val="0020639D"/>
    <w:rsid w:val="002068ED"/>
    <w:rsid w:val="00206A0F"/>
    <w:rsid w:val="002070E4"/>
    <w:rsid w:val="002073EC"/>
    <w:rsid w:val="00207A46"/>
    <w:rsid w:val="00210009"/>
    <w:rsid w:val="00210734"/>
    <w:rsid w:val="00211D3D"/>
    <w:rsid w:val="00212BBE"/>
    <w:rsid w:val="00213012"/>
    <w:rsid w:val="00214242"/>
    <w:rsid w:val="00214901"/>
    <w:rsid w:val="002155EA"/>
    <w:rsid w:val="00215D57"/>
    <w:rsid w:val="00216C21"/>
    <w:rsid w:val="00216E6D"/>
    <w:rsid w:val="00216EBB"/>
    <w:rsid w:val="0021730F"/>
    <w:rsid w:val="00217AA0"/>
    <w:rsid w:val="00220EC2"/>
    <w:rsid w:val="0022116C"/>
    <w:rsid w:val="00221749"/>
    <w:rsid w:val="00221766"/>
    <w:rsid w:val="0022207E"/>
    <w:rsid w:val="002225CC"/>
    <w:rsid w:val="0022267A"/>
    <w:rsid w:val="00223985"/>
    <w:rsid w:val="00224768"/>
    <w:rsid w:val="00224AF0"/>
    <w:rsid w:val="00224BD5"/>
    <w:rsid w:val="002265AC"/>
    <w:rsid w:val="00226CC1"/>
    <w:rsid w:val="00226EA5"/>
    <w:rsid w:val="00227E8D"/>
    <w:rsid w:val="002303B5"/>
    <w:rsid w:val="0023140E"/>
    <w:rsid w:val="0023171E"/>
    <w:rsid w:val="00231C8F"/>
    <w:rsid w:val="00232D6B"/>
    <w:rsid w:val="00233630"/>
    <w:rsid w:val="00234635"/>
    <w:rsid w:val="00234BF3"/>
    <w:rsid w:val="0023601D"/>
    <w:rsid w:val="00236B91"/>
    <w:rsid w:val="002379A4"/>
    <w:rsid w:val="0024053B"/>
    <w:rsid w:val="002424D1"/>
    <w:rsid w:val="0024305E"/>
    <w:rsid w:val="0024360B"/>
    <w:rsid w:val="002438C3"/>
    <w:rsid w:val="00243D19"/>
    <w:rsid w:val="002443B4"/>
    <w:rsid w:val="002451FB"/>
    <w:rsid w:val="00245E10"/>
    <w:rsid w:val="00247434"/>
    <w:rsid w:val="002474AF"/>
    <w:rsid w:val="002500FF"/>
    <w:rsid w:val="002503E9"/>
    <w:rsid w:val="00251E76"/>
    <w:rsid w:val="00252CCE"/>
    <w:rsid w:val="00253280"/>
    <w:rsid w:val="00253C82"/>
    <w:rsid w:val="00254E77"/>
    <w:rsid w:val="002555A6"/>
    <w:rsid w:val="002558F6"/>
    <w:rsid w:val="00255BE5"/>
    <w:rsid w:val="002562E2"/>
    <w:rsid w:val="00256720"/>
    <w:rsid w:val="0025709A"/>
    <w:rsid w:val="002574C9"/>
    <w:rsid w:val="00257EFB"/>
    <w:rsid w:val="0026042E"/>
    <w:rsid w:val="0026186D"/>
    <w:rsid w:val="00261E78"/>
    <w:rsid w:val="002643BB"/>
    <w:rsid w:val="002665E5"/>
    <w:rsid w:val="002671DB"/>
    <w:rsid w:val="002673D0"/>
    <w:rsid w:val="002700C5"/>
    <w:rsid w:val="00270AA2"/>
    <w:rsid w:val="00270BB5"/>
    <w:rsid w:val="00271BCC"/>
    <w:rsid w:val="002727E9"/>
    <w:rsid w:val="00272826"/>
    <w:rsid w:val="002730B1"/>
    <w:rsid w:val="00273EF0"/>
    <w:rsid w:val="00274132"/>
    <w:rsid w:val="0027440C"/>
    <w:rsid w:val="002745FA"/>
    <w:rsid w:val="00274F52"/>
    <w:rsid w:val="00275151"/>
    <w:rsid w:val="00275419"/>
    <w:rsid w:val="002754F0"/>
    <w:rsid w:val="002766D8"/>
    <w:rsid w:val="00276A01"/>
    <w:rsid w:val="00276B38"/>
    <w:rsid w:val="0028086A"/>
    <w:rsid w:val="00281B16"/>
    <w:rsid w:val="00282ED8"/>
    <w:rsid w:val="002833B8"/>
    <w:rsid w:val="002836F2"/>
    <w:rsid w:val="00283C6A"/>
    <w:rsid w:val="002847F5"/>
    <w:rsid w:val="0028653D"/>
    <w:rsid w:val="00286BF7"/>
    <w:rsid w:val="00286CD0"/>
    <w:rsid w:val="00290739"/>
    <w:rsid w:val="002915D1"/>
    <w:rsid w:val="00291B86"/>
    <w:rsid w:val="00292017"/>
    <w:rsid w:val="00292326"/>
    <w:rsid w:val="00292A7C"/>
    <w:rsid w:val="00292D99"/>
    <w:rsid w:val="00292E32"/>
    <w:rsid w:val="0029393F"/>
    <w:rsid w:val="00295A95"/>
    <w:rsid w:val="002961BF"/>
    <w:rsid w:val="00297A5E"/>
    <w:rsid w:val="00297FAD"/>
    <w:rsid w:val="002A1BF7"/>
    <w:rsid w:val="002A24A3"/>
    <w:rsid w:val="002A26E3"/>
    <w:rsid w:val="002A3C2F"/>
    <w:rsid w:val="002A3DC6"/>
    <w:rsid w:val="002A41FB"/>
    <w:rsid w:val="002A4259"/>
    <w:rsid w:val="002A5217"/>
    <w:rsid w:val="002A58B8"/>
    <w:rsid w:val="002A5A00"/>
    <w:rsid w:val="002A5CFE"/>
    <w:rsid w:val="002A732D"/>
    <w:rsid w:val="002B0403"/>
    <w:rsid w:val="002B0EF9"/>
    <w:rsid w:val="002B143F"/>
    <w:rsid w:val="002B222A"/>
    <w:rsid w:val="002B3B41"/>
    <w:rsid w:val="002B5008"/>
    <w:rsid w:val="002B525C"/>
    <w:rsid w:val="002B5433"/>
    <w:rsid w:val="002B7CD5"/>
    <w:rsid w:val="002C1081"/>
    <w:rsid w:val="002C1330"/>
    <w:rsid w:val="002C1573"/>
    <w:rsid w:val="002C176B"/>
    <w:rsid w:val="002C1901"/>
    <w:rsid w:val="002C1D16"/>
    <w:rsid w:val="002C222B"/>
    <w:rsid w:val="002C3F08"/>
    <w:rsid w:val="002C4E4A"/>
    <w:rsid w:val="002C500C"/>
    <w:rsid w:val="002C5859"/>
    <w:rsid w:val="002C6D15"/>
    <w:rsid w:val="002C7346"/>
    <w:rsid w:val="002C77CC"/>
    <w:rsid w:val="002C7906"/>
    <w:rsid w:val="002C7F34"/>
    <w:rsid w:val="002D1B8D"/>
    <w:rsid w:val="002D2864"/>
    <w:rsid w:val="002D49DA"/>
    <w:rsid w:val="002D6497"/>
    <w:rsid w:val="002D6E46"/>
    <w:rsid w:val="002D6E9D"/>
    <w:rsid w:val="002D71F3"/>
    <w:rsid w:val="002E0287"/>
    <w:rsid w:val="002E11F7"/>
    <w:rsid w:val="002E2268"/>
    <w:rsid w:val="002E5C61"/>
    <w:rsid w:val="002E73EB"/>
    <w:rsid w:val="002F05EF"/>
    <w:rsid w:val="002F07E3"/>
    <w:rsid w:val="002F1843"/>
    <w:rsid w:val="002F18F8"/>
    <w:rsid w:val="002F23F7"/>
    <w:rsid w:val="002F314C"/>
    <w:rsid w:val="002F3281"/>
    <w:rsid w:val="002F4BB5"/>
    <w:rsid w:val="002F5EB9"/>
    <w:rsid w:val="002F627F"/>
    <w:rsid w:val="002F7498"/>
    <w:rsid w:val="00300E67"/>
    <w:rsid w:val="00301828"/>
    <w:rsid w:val="00301E20"/>
    <w:rsid w:val="003021D8"/>
    <w:rsid w:val="00302C59"/>
    <w:rsid w:val="00303C43"/>
    <w:rsid w:val="00303F7C"/>
    <w:rsid w:val="00305E74"/>
    <w:rsid w:val="0030636C"/>
    <w:rsid w:val="00306734"/>
    <w:rsid w:val="0030684E"/>
    <w:rsid w:val="00307401"/>
    <w:rsid w:val="0030754A"/>
    <w:rsid w:val="00307800"/>
    <w:rsid w:val="00307F4F"/>
    <w:rsid w:val="00307FFE"/>
    <w:rsid w:val="00310F57"/>
    <w:rsid w:val="0031125A"/>
    <w:rsid w:val="00311434"/>
    <w:rsid w:val="00311A45"/>
    <w:rsid w:val="00313477"/>
    <w:rsid w:val="00314EAE"/>
    <w:rsid w:val="00315EAC"/>
    <w:rsid w:val="00317EFF"/>
    <w:rsid w:val="0032005D"/>
    <w:rsid w:val="0032058B"/>
    <w:rsid w:val="0032165B"/>
    <w:rsid w:val="00322895"/>
    <w:rsid w:val="00322D5E"/>
    <w:rsid w:val="00323F41"/>
    <w:rsid w:val="0032403F"/>
    <w:rsid w:val="0032464D"/>
    <w:rsid w:val="0032560F"/>
    <w:rsid w:val="00326406"/>
    <w:rsid w:val="00330A8A"/>
    <w:rsid w:val="00331576"/>
    <w:rsid w:val="00331871"/>
    <w:rsid w:val="00331A08"/>
    <w:rsid w:val="00332894"/>
    <w:rsid w:val="003336E2"/>
    <w:rsid w:val="003345C4"/>
    <w:rsid w:val="0033531A"/>
    <w:rsid w:val="00335437"/>
    <w:rsid w:val="00335BFB"/>
    <w:rsid w:val="00335E86"/>
    <w:rsid w:val="00336CB6"/>
    <w:rsid w:val="00336CE7"/>
    <w:rsid w:val="00337A64"/>
    <w:rsid w:val="00340184"/>
    <w:rsid w:val="003407FC"/>
    <w:rsid w:val="00341973"/>
    <w:rsid w:val="00341A48"/>
    <w:rsid w:val="003422AC"/>
    <w:rsid w:val="0034256D"/>
    <w:rsid w:val="003429D9"/>
    <w:rsid w:val="00342EF2"/>
    <w:rsid w:val="0034348E"/>
    <w:rsid w:val="00344051"/>
    <w:rsid w:val="003440AC"/>
    <w:rsid w:val="00344CCA"/>
    <w:rsid w:val="00344E1E"/>
    <w:rsid w:val="00344F54"/>
    <w:rsid w:val="00345009"/>
    <w:rsid w:val="0034641C"/>
    <w:rsid w:val="00346BB1"/>
    <w:rsid w:val="0034781E"/>
    <w:rsid w:val="0035023F"/>
    <w:rsid w:val="003505CD"/>
    <w:rsid w:val="00352052"/>
    <w:rsid w:val="003535BD"/>
    <w:rsid w:val="00354072"/>
    <w:rsid w:val="00354ABB"/>
    <w:rsid w:val="00354BA8"/>
    <w:rsid w:val="00354BFA"/>
    <w:rsid w:val="00354C87"/>
    <w:rsid w:val="00355302"/>
    <w:rsid w:val="00355BDC"/>
    <w:rsid w:val="003565AB"/>
    <w:rsid w:val="003571A4"/>
    <w:rsid w:val="0035760F"/>
    <w:rsid w:val="00357C5E"/>
    <w:rsid w:val="003609FA"/>
    <w:rsid w:val="003615D6"/>
    <w:rsid w:val="003616D3"/>
    <w:rsid w:val="00362908"/>
    <w:rsid w:val="0036318C"/>
    <w:rsid w:val="003634BD"/>
    <w:rsid w:val="003637AF"/>
    <w:rsid w:val="00363F03"/>
    <w:rsid w:val="00365471"/>
    <w:rsid w:val="00365539"/>
    <w:rsid w:val="0036772A"/>
    <w:rsid w:val="00367AA4"/>
    <w:rsid w:val="003701A0"/>
    <w:rsid w:val="003709D6"/>
    <w:rsid w:val="00370BB7"/>
    <w:rsid w:val="00370ED9"/>
    <w:rsid w:val="003710DD"/>
    <w:rsid w:val="00372281"/>
    <w:rsid w:val="00372D35"/>
    <w:rsid w:val="00373243"/>
    <w:rsid w:val="00374945"/>
    <w:rsid w:val="003749D3"/>
    <w:rsid w:val="003752B0"/>
    <w:rsid w:val="0038082F"/>
    <w:rsid w:val="00380A73"/>
    <w:rsid w:val="00381916"/>
    <w:rsid w:val="003819D9"/>
    <w:rsid w:val="00381FCF"/>
    <w:rsid w:val="00382561"/>
    <w:rsid w:val="00382ECD"/>
    <w:rsid w:val="0038400A"/>
    <w:rsid w:val="003840B9"/>
    <w:rsid w:val="00384136"/>
    <w:rsid w:val="003849A2"/>
    <w:rsid w:val="00384CD2"/>
    <w:rsid w:val="003855BC"/>
    <w:rsid w:val="003857BA"/>
    <w:rsid w:val="003901BE"/>
    <w:rsid w:val="0039021A"/>
    <w:rsid w:val="00390327"/>
    <w:rsid w:val="00391204"/>
    <w:rsid w:val="003917E9"/>
    <w:rsid w:val="00391FB8"/>
    <w:rsid w:val="00392807"/>
    <w:rsid w:val="00393524"/>
    <w:rsid w:val="00393BC0"/>
    <w:rsid w:val="00394839"/>
    <w:rsid w:val="003952C1"/>
    <w:rsid w:val="00395C6E"/>
    <w:rsid w:val="00396AD3"/>
    <w:rsid w:val="00397413"/>
    <w:rsid w:val="00397C42"/>
    <w:rsid w:val="00397DD6"/>
    <w:rsid w:val="003A1BE6"/>
    <w:rsid w:val="003A1D78"/>
    <w:rsid w:val="003A36EC"/>
    <w:rsid w:val="003A43C6"/>
    <w:rsid w:val="003A489D"/>
    <w:rsid w:val="003A4ACA"/>
    <w:rsid w:val="003A4AFE"/>
    <w:rsid w:val="003A5742"/>
    <w:rsid w:val="003A5F62"/>
    <w:rsid w:val="003A6A12"/>
    <w:rsid w:val="003A7230"/>
    <w:rsid w:val="003B1A97"/>
    <w:rsid w:val="003B23CC"/>
    <w:rsid w:val="003B3913"/>
    <w:rsid w:val="003B3B8D"/>
    <w:rsid w:val="003B5568"/>
    <w:rsid w:val="003B6E80"/>
    <w:rsid w:val="003C30BB"/>
    <w:rsid w:val="003C4081"/>
    <w:rsid w:val="003C55BD"/>
    <w:rsid w:val="003C590A"/>
    <w:rsid w:val="003C754E"/>
    <w:rsid w:val="003D06A4"/>
    <w:rsid w:val="003D137D"/>
    <w:rsid w:val="003D14E8"/>
    <w:rsid w:val="003D1540"/>
    <w:rsid w:val="003D1B57"/>
    <w:rsid w:val="003D3BE2"/>
    <w:rsid w:val="003D3C93"/>
    <w:rsid w:val="003D4425"/>
    <w:rsid w:val="003D5578"/>
    <w:rsid w:val="003D599C"/>
    <w:rsid w:val="003D6755"/>
    <w:rsid w:val="003D6E11"/>
    <w:rsid w:val="003D7402"/>
    <w:rsid w:val="003E085E"/>
    <w:rsid w:val="003E0CEF"/>
    <w:rsid w:val="003E1AB2"/>
    <w:rsid w:val="003E1DD0"/>
    <w:rsid w:val="003E3771"/>
    <w:rsid w:val="003E3F09"/>
    <w:rsid w:val="003E464C"/>
    <w:rsid w:val="003E6B7E"/>
    <w:rsid w:val="003E6E30"/>
    <w:rsid w:val="003E735D"/>
    <w:rsid w:val="003E7CF7"/>
    <w:rsid w:val="003F35A5"/>
    <w:rsid w:val="003F4517"/>
    <w:rsid w:val="003F49AD"/>
    <w:rsid w:val="003F52C5"/>
    <w:rsid w:val="003F5417"/>
    <w:rsid w:val="003F6757"/>
    <w:rsid w:val="003F6DD2"/>
    <w:rsid w:val="003F743F"/>
    <w:rsid w:val="004007A4"/>
    <w:rsid w:val="00401A77"/>
    <w:rsid w:val="0040250A"/>
    <w:rsid w:val="00402798"/>
    <w:rsid w:val="0040343A"/>
    <w:rsid w:val="004036E3"/>
    <w:rsid w:val="00403B11"/>
    <w:rsid w:val="00403C5B"/>
    <w:rsid w:val="00403CFF"/>
    <w:rsid w:val="00403D65"/>
    <w:rsid w:val="00404AA2"/>
    <w:rsid w:val="0040526A"/>
    <w:rsid w:val="00405771"/>
    <w:rsid w:val="004066D9"/>
    <w:rsid w:val="00407214"/>
    <w:rsid w:val="004100A8"/>
    <w:rsid w:val="004106C4"/>
    <w:rsid w:val="0041075D"/>
    <w:rsid w:val="00410A3D"/>
    <w:rsid w:val="00411FD5"/>
    <w:rsid w:val="00412E01"/>
    <w:rsid w:val="00412E13"/>
    <w:rsid w:val="004133CE"/>
    <w:rsid w:val="00413A8F"/>
    <w:rsid w:val="00414009"/>
    <w:rsid w:val="00415F2B"/>
    <w:rsid w:val="00416AB6"/>
    <w:rsid w:val="00416ADA"/>
    <w:rsid w:val="00417F3E"/>
    <w:rsid w:val="00420317"/>
    <w:rsid w:val="00420A42"/>
    <w:rsid w:val="00420BD5"/>
    <w:rsid w:val="00420FE0"/>
    <w:rsid w:val="0042238B"/>
    <w:rsid w:val="00422B63"/>
    <w:rsid w:val="004234FC"/>
    <w:rsid w:val="00424891"/>
    <w:rsid w:val="00424FE8"/>
    <w:rsid w:val="00427217"/>
    <w:rsid w:val="00427FEE"/>
    <w:rsid w:val="00430178"/>
    <w:rsid w:val="00431490"/>
    <w:rsid w:val="004315DF"/>
    <w:rsid w:val="0043181F"/>
    <w:rsid w:val="0043192A"/>
    <w:rsid w:val="004321DE"/>
    <w:rsid w:val="00432785"/>
    <w:rsid w:val="00432B5A"/>
    <w:rsid w:val="00432FEB"/>
    <w:rsid w:val="0043382E"/>
    <w:rsid w:val="00433AEA"/>
    <w:rsid w:val="00433CA1"/>
    <w:rsid w:val="004351FF"/>
    <w:rsid w:val="004354C3"/>
    <w:rsid w:val="00435BDF"/>
    <w:rsid w:val="00436653"/>
    <w:rsid w:val="0044050D"/>
    <w:rsid w:val="0044151A"/>
    <w:rsid w:val="004420AD"/>
    <w:rsid w:val="0044229B"/>
    <w:rsid w:val="004435F9"/>
    <w:rsid w:val="00444A6A"/>
    <w:rsid w:val="00444CB6"/>
    <w:rsid w:val="00445358"/>
    <w:rsid w:val="00445861"/>
    <w:rsid w:val="004469EA"/>
    <w:rsid w:val="0044704A"/>
    <w:rsid w:val="004479D7"/>
    <w:rsid w:val="00450DEC"/>
    <w:rsid w:val="00451125"/>
    <w:rsid w:val="0045172C"/>
    <w:rsid w:val="004517AA"/>
    <w:rsid w:val="004523FE"/>
    <w:rsid w:val="0045267E"/>
    <w:rsid w:val="00452C74"/>
    <w:rsid w:val="00453168"/>
    <w:rsid w:val="00453655"/>
    <w:rsid w:val="00453E2F"/>
    <w:rsid w:val="004565BC"/>
    <w:rsid w:val="0045678B"/>
    <w:rsid w:val="0045779F"/>
    <w:rsid w:val="00460C43"/>
    <w:rsid w:val="00460F70"/>
    <w:rsid w:val="00462108"/>
    <w:rsid w:val="004626A3"/>
    <w:rsid w:val="004629A9"/>
    <w:rsid w:val="00463EFB"/>
    <w:rsid w:val="0046401E"/>
    <w:rsid w:val="00464258"/>
    <w:rsid w:val="00464362"/>
    <w:rsid w:val="00464F81"/>
    <w:rsid w:val="004662F2"/>
    <w:rsid w:val="00470DCF"/>
    <w:rsid w:val="0047176E"/>
    <w:rsid w:val="0047207E"/>
    <w:rsid w:val="0047391D"/>
    <w:rsid w:val="004739DB"/>
    <w:rsid w:val="004758AB"/>
    <w:rsid w:val="00476D4F"/>
    <w:rsid w:val="00477A5D"/>
    <w:rsid w:val="00477BED"/>
    <w:rsid w:val="00480153"/>
    <w:rsid w:val="00481277"/>
    <w:rsid w:val="00482DE1"/>
    <w:rsid w:val="00483A1C"/>
    <w:rsid w:val="00483CD9"/>
    <w:rsid w:val="00485621"/>
    <w:rsid w:val="00485975"/>
    <w:rsid w:val="00486461"/>
    <w:rsid w:val="00487097"/>
    <w:rsid w:val="004872A1"/>
    <w:rsid w:val="0049020A"/>
    <w:rsid w:val="004905D0"/>
    <w:rsid w:val="004907ED"/>
    <w:rsid w:val="00492008"/>
    <w:rsid w:val="0049229C"/>
    <w:rsid w:val="00494B9F"/>
    <w:rsid w:val="004952A5"/>
    <w:rsid w:val="00495AB1"/>
    <w:rsid w:val="004961AF"/>
    <w:rsid w:val="00496990"/>
    <w:rsid w:val="004976B2"/>
    <w:rsid w:val="0049798D"/>
    <w:rsid w:val="004A0337"/>
    <w:rsid w:val="004A1309"/>
    <w:rsid w:val="004A2574"/>
    <w:rsid w:val="004A2DB1"/>
    <w:rsid w:val="004A2F94"/>
    <w:rsid w:val="004A3116"/>
    <w:rsid w:val="004A3F73"/>
    <w:rsid w:val="004A469B"/>
    <w:rsid w:val="004A483F"/>
    <w:rsid w:val="004A4DD2"/>
    <w:rsid w:val="004A5DD6"/>
    <w:rsid w:val="004A69B6"/>
    <w:rsid w:val="004A7AC2"/>
    <w:rsid w:val="004B0D75"/>
    <w:rsid w:val="004B0E34"/>
    <w:rsid w:val="004B106C"/>
    <w:rsid w:val="004B10B5"/>
    <w:rsid w:val="004B277C"/>
    <w:rsid w:val="004B2BDA"/>
    <w:rsid w:val="004B3DB5"/>
    <w:rsid w:val="004B49E9"/>
    <w:rsid w:val="004B4B35"/>
    <w:rsid w:val="004B4F1C"/>
    <w:rsid w:val="004B5104"/>
    <w:rsid w:val="004B5800"/>
    <w:rsid w:val="004B5EB3"/>
    <w:rsid w:val="004B600E"/>
    <w:rsid w:val="004B6AD9"/>
    <w:rsid w:val="004B70CB"/>
    <w:rsid w:val="004B713F"/>
    <w:rsid w:val="004B71B6"/>
    <w:rsid w:val="004B71D5"/>
    <w:rsid w:val="004B7DE6"/>
    <w:rsid w:val="004C097F"/>
    <w:rsid w:val="004C0992"/>
    <w:rsid w:val="004C0A17"/>
    <w:rsid w:val="004C0D73"/>
    <w:rsid w:val="004C1559"/>
    <w:rsid w:val="004C22B1"/>
    <w:rsid w:val="004C381D"/>
    <w:rsid w:val="004C4211"/>
    <w:rsid w:val="004C6B12"/>
    <w:rsid w:val="004C795E"/>
    <w:rsid w:val="004C7A9C"/>
    <w:rsid w:val="004D0076"/>
    <w:rsid w:val="004D0B34"/>
    <w:rsid w:val="004D233C"/>
    <w:rsid w:val="004D25FB"/>
    <w:rsid w:val="004D3EF0"/>
    <w:rsid w:val="004D41DB"/>
    <w:rsid w:val="004D4263"/>
    <w:rsid w:val="004D44CD"/>
    <w:rsid w:val="004D4594"/>
    <w:rsid w:val="004D483E"/>
    <w:rsid w:val="004D4AAA"/>
    <w:rsid w:val="004D5B98"/>
    <w:rsid w:val="004D5C91"/>
    <w:rsid w:val="004D5D9A"/>
    <w:rsid w:val="004D68F2"/>
    <w:rsid w:val="004D7C19"/>
    <w:rsid w:val="004E0E45"/>
    <w:rsid w:val="004E13B9"/>
    <w:rsid w:val="004E18D9"/>
    <w:rsid w:val="004E1E3B"/>
    <w:rsid w:val="004E1E8C"/>
    <w:rsid w:val="004E2028"/>
    <w:rsid w:val="004E27B0"/>
    <w:rsid w:val="004E3C90"/>
    <w:rsid w:val="004E3EF9"/>
    <w:rsid w:val="004E4785"/>
    <w:rsid w:val="004E5488"/>
    <w:rsid w:val="004E57E9"/>
    <w:rsid w:val="004E5C0A"/>
    <w:rsid w:val="004E61F2"/>
    <w:rsid w:val="004E6429"/>
    <w:rsid w:val="004F0555"/>
    <w:rsid w:val="004F08EC"/>
    <w:rsid w:val="004F1B1A"/>
    <w:rsid w:val="004F205B"/>
    <w:rsid w:val="004F224D"/>
    <w:rsid w:val="004F36C7"/>
    <w:rsid w:val="004F3CAD"/>
    <w:rsid w:val="004F3DE2"/>
    <w:rsid w:val="004F4FF2"/>
    <w:rsid w:val="004F5055"/>
    <w:rsid w:val="004F5681"/>
    <w:rsid w:val="004F5A85"/>
    <w:rsid w:val="004F60CA"/>
    <w:rsid w:val="004F6786"/>
    <w:rsid w:val="004F6D0E"/>
    <w:rsid w:val="00500B9B"/>
    <w:rsid w:val="0050115D"/>
    <w:rsid w:val="00502663"/>
    <w:rsid w:val="005028E5"/>
    <w:rsid w:val="00502B7B"/>
    <w:rsid w:val="00503199"/>
    <w:rsid w:val="00505A7D"/>
    <w:rsid w:val="00505B06"/>
    <w:rsid w:val="00506B48"/>
    <w:rsid w:val="005108F3"/>
    <w:rsid w:val="005124FC"/>
    <w:rsid w:val="00512EE6"/>
    <w:rsid w:val="00513724"/>
    <w:rsid w:val="005144C1"/>
    <w:rsid w:val="005148A1"/>
    <w:rsid w:val="0051556C"/>
    <w:rsid w:val="00515A91"/>
    <w:rsid w:val="00515E53"/>
    <w:rsid w:val="005168B1"/>
    <w:rsid w:val="005174EF"/>
    <w:rsid w:val="00520376"/>
    <w:rsid w:val="00521163"/>
    <w:rsid w:val="0052221C"/>
    <w:rsid w:val="00522C79"/>
    <w:rsid w:val="00524348"/>
    <w:rsid w:val="0052481E"/>
    <w:rsid w:val="00524B08"/>
    <w:rsid w:val="005255D3"/>
    <w:rsid w:val="00525D1C"/>
    <w:rsid w:val="00525EC8"/>
    <w:rsid w:val="00527E2A"/>
    <w:rsid w:val="00527F43"/>
    <w:rsid w:val="005300E2"/>
    <w:rsid w:val="005303B8"/>
    <w:rsid w:val="00530A72"/>
    <w:rsid w:val="00532365"/>
    <w:rsid w:val="00533345"/>
    <w:rsid w:val="0053337E"/>
    <w:rsid w:val="00533D3E"/>
    <w:rsid w:val="0053434E"/>
    <w:rsid w:val="00535241"/>
    <w:rsid w:val="00536057"/>
    <w:rsid w:val="00536252"/>
    <w:rsid w:val="0053657A"/>
    <w:rsid w:val="005405B1"/>
    <w:rsid w:val="00541093"/>
    <w:rsid w:val="005418E2"/>
    <w:rsid w:val="005426AF"/>
    <w:rsid w:val="00542991"/>
    <w:rsid w:val="0054368C"/>
    <w:rsid w:val="00544880"/>
    <w:rsid w:val="00544C0A"/>
    <w:rsid w:val="00544C66"/>
    <w:rsid w:val="00547AC4"/>
    <w:rsid w:val="00550293"/>
    <w:rsid w:val="005518A7"/>
    <w:rsid w:val="00551C93"/>
    <w:rsid w:val="00551F7B"/>
    <w:rsid w:val="0055295C"/>
    <w:rsid w:val="00552FEC"/>
    <w:rsid w:val="00553482"/>
    <w:rsid w:val="005538AB"/>
    <w:rsid w:val="005541DC"/>
    <w:rsid w:val="00555E71"/>
    <w:rsid w:val="005565E2"/>
    <w:rsid w:val="005569D7"/>
    <w:rsid w:val="005576BF"/>
    <w:rsid w:val="00557854"/>
    <w:rsid w:val="0056049F"/>
    <w:rsid w:val="005609ED"/>
    <w:rsid w:val="00561DB7"/>
    <w:rsid w:val="00562002"/>
    <w:rsid w:val="00562116"/>
    <w:rsid w:val="00562F19"/>
    <w:rsid w:val="00563A1D"/>
    <w:rsid w:val="00563AF7"/>
    <w:rsid w:val="0056461D"/>
    <w:rsid w:val="00564892"/>
    <w:rsid w:val="00565022"/>
    <w:rsid w:val="00565203"/>
    <w:rsid w:val="005658CF"/>
    <w:rsid w:val="00565F7C"/>
    <w:rsid w:val="0056611E"/>
    <w:rsid w:val="00566E5E"/>
    <w:rsid w:val="00567755"/>
    <w:rsid w:val="00567B52"/>
    <w:rsid w:val="00567E39"/>
    <w:rsid w:val="0057076B"/>
    <w:rsid w:val="005715A4"/>
    <w:rsid w:val="00572A63"/>
    <w:rsid w:val="00573168"/>
    <w:rsid w:val="005732A3"/>
    <w:rsid w:val="00573559"/>
    <w:rsid w:val="0057356C"/>
    <w:rsid w:val="00573D2E"/>
    <w:rsid w:val="00575979"/>
    <w:rsid w:val="005776E3"/>
    <w:rsid w:val="00577CA6"/>
    <w:rsid w:val="00577FB3"/>
    <w:rsid w:val="00580964"/>
    <w:rsid w:val="00580D49"/>
    <w:rsid w:val="005814BC"/>
    <w:rsid w:val="00581563"/>
    <w:rsid w:val="00581597"/>
    <w:rsid w:val="00581AF4"/>
    <w:rsid w:val="00582C4B"/>
    <w:rsid w:val="00583CDE"/>
    <w:rsid w:val="00584238"/>
    <w:rsid w:val="005843BD"/>
    <w:rsid w:val="00584471"/>
    <w:rsid w:val="00584CB8"/>
    <w:rsid w:val="005869ED"/>
    <w:rsid w:val="00587E3E"/>
    <w:rsid w:val="005904DC"/>
    <w:rsid w:val="00590F22"/>
    <w:rsid w:val="00591226"/>
    <w:rsid w:val="00591377"/>
    <w:rsid w:val="00591FD2"/>
    <w:rsid w:val="005921C2"/>
    <w:rsid w:val="0059325A"/>
    <w:rsid w:val="00593DC2"/>
    <w:rsid w:val="0059584C"/>
    <w:rsid w:val="00595D04"/>
    <w:rsid w:val="00597D9F"/>
    <w:rsid w:val="005A0989"/>
    <w:rsid w:val="005A11D3"/>
    <w:rsid w:val="005A20A3"/>
    <w:rsid w:val="005A2421"/>
    <w:rsid w:val="005A2502"/>
    <w:rsid w:val="005A2854"/>
    <w:rsid w:val="005A293B"/>
    <w:rsid w:val="005A2BBC"/>
    <w:rsid w:val="005A3099"/>
    <w:rsid w:val="005A3B5F"/>
    <w:rsid w:val="005A4977"/>
    <w:rsid w:val="005A4EC0"/>
    <w:rsid w:val="005A551C"/>
    <w:rsid w:val="005A60C5"/>
    <w:rsid w:val="005A6FE4"/>
    <w:rsid w:val="005B0306"/>
    <w:rsid w:val="005B1228"/>
    <w:rsid w:val="005B2563"/>
    <w:rsid w:val="005B2D56"/>
    <w:rsid w:val="005B2D75"/>
    <w:rsid w:val="005B3B53"/>
    <w:rsid w:val="005B4C08"/>
    <w:rsid w:val="005B578B"/>
    <w:rsid w:val="005B57C2"/>
    <w:rsid w:val="005B6899"/>
    <w:rsid w:val="005B74E0"/>
    <w:rsid w:val="005B7950"/>
    <w:rsid w:val="005C186D"/>
    <w:rsid w:val="005C1E33"/>
    <w:rsid w:val="005C28C9"/>
    <w:rsid w:val="005C2CAE"/>
    <w:rsid w:val="005C2D92"/>
    <w:rsid w:val="005C36F6"/>
    <w:rsid w:val="005C4205"/>
    <w:rsid w:val="005C4E84"/>
    <w:rsid w:val="005C6C17"/>
    <w:rsid w:val="005C7785"/>
    <w:rsid w:val="005D13C5"/>
    <w:rsid w:val="005D1E4C"/>
    <w:rsid w:val="005D2F86"/>
    <w:rsid w:val="005D33F1"/>
    <w:rsid w:val="005D3B25"/>
    <w:rsid w:val="005D3C98"/>
    <w:rsid w:val="005D45B6"/>
    <w:rsid w:val="005D5503"/>
    <w:rsid w:val="005D653C"/>
    <w:rsid w:val="005D690D"/>
    <w:rsid w:val="005D6D9A"/>
    <w:rsid w:val="005D7B36"/>
    <w:rsid w:val="005D7E86"/>
    <w:rsid w:val="005E09DF"/>
    <w:rsid w:val="005E0EB2"/>
    <w:rsid w:val="005E1047"/>
    <w:rsid w:val="005E13B3"/>
    <w:rsid w:val="005E17D3"/>
    <w:rsid w:val="005E1EDA"/>
    <w:rsid w:val="005E1FCA"/>
    <w:rsid w:val="005E269F"/>
    <w:rsid w:val="005E2ADD"/>
    <w:rsid w:val="005E2CBB"/>
    <w:rsid w:val="005E31B2"/>
    <w:rsid w:val="005E33E5"/>
    <w:rsid w:val="005E3989"/>
    <w:rsid w:val="005E430A"/>
    <w:rsid w:val="005E49BE"/>
    <w:rsid w:val="005E53D3"/>
    <w:rsid w:val="005E55D3"/>
    <w:rsid w:val="005E6D6A"/>
    <w:rsid w:val="005F02AE"/>
    <w:rsid w:val="005F0D4B"/>
    <w:rsid w:val="005F1087"/>
    <w:rsid w:val="005F393D"/>
    <w:rsid w:val="005F3A30"/>
    <w:rsid w:val="005F4C8C"/>
    <w:rsid w:val="005F52AB"/>
    <w:rsid w:val="005F549B"/>
    <w:rsid w:val="005F5E9D"/>
    <w:rsid w:val="00600813"/>
    <w:rsid w:val="006013A9"/>
    <w:rsid w:val="0060154F"/>
    <w:rsid w:val="00603708"/>
    <w:rsid w:val="00603D83"/>
    <w:rsid w:val="00603E89"/>
    <w:rsid w:val="00604377"/>
    <w:rsid w:val="006048AB"/>
    <w:rsid w:val="00604B56"/>
    <w:rsid w:val="00604D40"/>
    <w:rsid w:val="00604F29"/>
    <w:rsid w:val="00605547"/>
    <w:rsid w:val="00605DCC"/>
    <w:rsid w:val="006068F4"/>
    <w:rsid w:val="00606993"/>
    <w:rsid w:val="00606C4E"/>
    <w:rsid w:val="00610C1F"/>
    <w:rsid w:val="006114BB"/>
    <w:rsid w:val="0061599D"/>
    <w:rsid w:val="00616EE0"/>
    <w:rsid w:val="00616EE6"/>
    <w:rsid w:val="006201AC"/>
    <w:rsid w:val="006207CB"/>
    <w:rsid w:val="00620BA0"/>
    <w:rsid w:val="006237D4"/>
    <w:rsid w:val="00623D50"/>
    <w:rsid w:val="00623ED6"/>
    <w:rsid w:val="00624155"/>
    <w:rsid w:val="00624263"/>
    <w:rsid w:val="006243CE"/>
    <w:rsid w:val="006253BE"/>
    <w:rsid w:val="00625809"/>
    <w:rsid w:val="006258AB"/>
    <w:rsid w:val="006279EC"/>
    <w:rsid w:val="00631EC4"/>
    <w:rsid w:val="00632970"/>
    <w:rsid w:val="00633AD7"/>
    <w:rsid w:val="00634CB3"/>
    <w:rsid w:val="00634DA2"/>
    <w:rsid w:val="006353B8"/>
    <w:rsid w:val="0063555C"/>
    <w:rsid w:val="00635890"/>
    <w:rsid w:val="006361EC"/>
    <w:rsid w:val="00637208"/>
    <w:rsid w:val="006372C0"/>
    <w:rsid w:val="006401AB"/>
    <w:rsid w:val="00641A5B"/>
    <w:rsid w:val="006429B4"/>
    <w:rsid w:val="0064321D"/>
    <w:rsid w:val="006437B4"/>
    <w:rsid w:val="006446BE"/>
    <w:rsid w:val="00644AF3"/>
    <w:rsid w:val="00644DEE"/>
    <w:rsid w:val="00646735"/>
    <w:rsid w:val="006471AF"/>
    <w:rsid w:val="006474F8"/>
    <w:rsid w:val="006477A0"/>
    <w:rsid w:val="006478BB"/>
    <w:rsid w:val="00647AA2"/>
    <w:rsid w:val="00647B0E"/>
    <w:rsid w:val="00650723"/>
    <w:rsid w:val="00650822"/>
    <w:rsid w:val="00650A84"/>
    <w:rsid w:val="00650D9F"/>
    <w:rsid w:val="00651505"/>
    <w:rsid w:val="00651A22"/>
    <w:rsid w:val="006523A7"/>
    <w:rsid w:val="006526F5"/>
    <w:rsid w:val="00652E83"/>
    <w:rsid w:val="00653924"/>
    <w:rsid w:val="00653EED"/>
    <w:rsid w:val="006552F6"/>
    <w:rsid w:val="006600EB"/>
    <w:rsid w:val="00660828"/>
    <w:rsid w:val="00661028"/>
    <w:rsid w:val="006627F8"/>
    <w:rsid w:val="00662EBB"/>
    <w:rsid w:val="00663CD9"/>
    <w:rsid w:val="00664406"/>
    <w:rsid w:val="0066588F"/>
    <w:rsid w:val="00665B47"/>
    <w:rsid w:val="0066706D"/>
    <w:rsid w:val="0067064D"/>
    <w:rsid w:val="00670F30"/>
    <w:rsid w:val="00671C6B"/>
    <w:rsid w:val="00671CBC"/>
    <w:rsid w:val="006727B9"/>
    <w:rsid w:val="0067284E"/>
    <w:rsid w:val="00673C96"/>
    <w:rsid w:val="00674AE8"/>
    <w:rsid w:val="00676026"/>
    <w:rsid w:val="00676337"/>
    <w:rsid w:val="00676AFB"/>
    <w:rsid w:val="00676E26"/>
    <w:rsid w:val="00676F9D"/>
    <w:rsid w:val="0067740E"/>
    <w:rsid w:val="006775CD"/>
    <w:rsid w:val="00677931"/>
    <w:rsid w:val="00677956"/>
    <w:rsid w:val="00680724"/>
    <w:rsid w:val="0068111B"/>
    <w:rsid w:val="00681BB9"/>
    <w:rsid w:val="0068237B"/>
    <w:rsid w:val="006855C2"/>
    <w:rsid w:val="0068651D"/>
    <w:rsid w:val="00690F01"/>
    <w:rsid w:val="006924CC"/>
    <w:rsid w:val="0069314C"/>
    <w:rsid w:val="006935F1"/>
    <w:rsid w:val="00693788"/>
    <w:rsid w:val="00693E92"/>
    <w:rsid w:val="00695BA3"/>
    <w:rsid w:val="0069626F"/>
    <w:rsid w:val="00696E97"/>
    <w:rsid w:val="00697746"/>
    <w:rsid w:val="006A008C"/>
    <w:rsid w:val="006A0B9B"/>
    <w:rsid w:val="006A14F7"/>
    <w:rsid w:val="006A1ADC"/>
    <w:rsid w:val="006A24F8"/>
    <w:rsid w:val="006A3E96"/>
    <w:rsid w:val="006A401A"/>
    <w:rsid w:val="006A40E0"/>
    <w:rsid w:val="006A4241"/>
    <w:rsid w:val="006A558F"/>
    <w:rsid w:val="006A5754"/>
    <w:rsid w:val="006A6577"/>
    <w:rsid w:val="006A6952"/>
    <w:rsid w:val="006A6F7F"/>
    <w:rsid w:val="006B117B"/>
    <w:rsid w:val="006B2223"/>
    <w:rsid w:val="006B3539"/>
    <w:rsid w:val="006B44A0"/>
    <w:rsid w:val="006B4FE2"/>
    <w:rsid w:val="006B6F8C"/>
    <w:rsid w:val="006B6F9E"/>
    <w:rsid w:val="006B78FD"/>
    <w:rsid w:val="006B7E10"/>
    <w:rsid w:val="006B7E16"/>
    <w:rsid w:val="006C0835"/>
    <w:rsid w:val="006C0A6D"/>
    <w:rsid w:val="006C0E53"/>
    <w:rsid w:val="006C2F85"/>
    <w:rsid w:val="006C3CA2"/>
    <w:rsid w:val="006C592C"/>
    <w:rsid w:val="006C5BD9"/>
    <w:rsid w:val="006C7172"/>
    <w:rsid w:val="006D0093"/>
    <w:rsid w:val="006D029B"/>
    <w:rsid w:val="006D049F"/>
    <w:rsid w:val="006D087B"/>
    <w:rsid w:val="006D0E52"/>
    <w:rsid w:val="006D139D"/>
    <w:rsid w:val="006D1511"/>
    <w:rsid w:val="006D171A"/>
    <w:rsid w:val="006D2ADB"/>
    <w:rsid w:val="006D32F7"/>
    <w:rsid w:val="006D3ABB"/>
    <w:rsid w:val="006D3E52"/>
    <w:rsid w:val="006D4005"/>
    <w:rsid w:val="006D4D7A"/>
    <w:rsid w:val="006D4F7F"/>
    <w:rsid w:val="006D57FC"/>
    <w:rsid w:val="006D6624"/>
    <w:rsid w:val="006D7B31"/>
    <w:rsid w:val="006E11EB"/>
    <w:rsid w:val="006E1702"/>
    <w:rsid w:val="006E1C65"/>
    <w:rsid w:val="006E2222"/>
    <w:rsid w:val="006E4355"/>
    <w:rsid w:val="006E61FF"/>
    <w:rsid w:val="006F102A"/>
    <w:rsid w:val="006F2C56"/>
    <w:rsid w:val="006F2E69"/>
    <w:rsid w:val="006F3429"/>
    <w:rsid w:val="006F3929"/>
    <w:rsid w:val="006F3F3C"/>
    <w:rsid w:val="006F4201"/>
    <w:rsid w:val="006F4A82"/>
    <w:rsid w:val="006F506A"/>
    <w:rsid w:val="006F6FB4"/>
    <w:rsid w:val="006F708D"/>
    <w:rsid w:val="006F72CB"/>
    <w:rsid w:val="006F7543"/>
    <w:rsid w:val="006F7662"/>
    <w:rsid w:val="007000CA"/>
    <w:rsid w:val="0070053A"/>
    <w:rsid w:val="00701AF8"/>
    <w:rsid w:val="00702196"/>
    <w:rsid w:val="0070240A"/>
    <w:rsid w:val="00702D5E"/>
    <w:rsid w:val="00703FF6"/>
    <w:rsid w:val="00704E48"/>
    <w:rsid w:val="00705214"/>
    <w:rsid w:val="00707B8C"/>
    <w:rsid w:val="00711CC3"/>
    <w:rsid w:val="00713367"/>
    <w:rsid w:val="00713F12"/>
    <w:rsid w:val="007147DA"/>
    <w:rsid w:val="00714A11"/>
    <w:rsid w:val="00714E66"/>
    <w:rsid w:val="0071561E"/>
    <w:rsid w:val="00715809"/>
    <w:rsid w:val="00715B7A"/>
    <w:rsid w:val="00715E60"/>
    <w:rsid w:val="0071644B"/>
    <w:rsid w:val="007164C8"/>
    <w:rsid w:val="00716683"/>
    <w:rsid w:val="00716956"/>
    <w:rsid w:val="007169D0"/>
    <w:rsid w:val="00717281"/>
    <w:rsid w:val="00720C18"/>
    <w:rsid w:val="007219AB"/>
    <w:rsid w:val="00723034"/>
    <w:rsid w:val="00724A85"/>
    <w:rsid w:val="00725AD0"/>
    <w:rsid w:val="007268D2"/>
    <w:rsid w:val="007269AD"/>
    <w:rsid w:val="00726E7B"/>
    <w:rsid w:val="00730FDD"/>
    <w:rsid w:val="007319E7"/>
    <w:rsid w:val="00733445"/>
    <w:rsid w:val="00733690"/>
    <w:rsid w:val="00733F87"/>
    <w:rsid w:val="00734164"/>
    <w:rsid w:val="007350E5"/>
    <w:rsid w:val="00735162"/>
    <w:rsid w:val="00735D57"/>
    <w:rsid w:val="00735EDC"/>
    <w:rsid w:val="007366F6"/>
    <w:rsid w:val="00736A33"/>
    <w:rsid w:val="00736ABE"/>
    <w:rsid w:val="007377E8"/>
    <w:rsid w:val="00737A82"/>
    <w:rsid w:val="00740617"/>
    <w:rsid w:val="007406BD"/>
    <w:rsid w:val="00741973"/>
    <w:rsid w:val="00743D7C"/>
    <w:rsid w:val="00745233"/>
    <w:rsid w:val="007452BD"/>
    <w:rsid w:val="007456EC"/>
    <w:rsid w:val="007458C9"/>
    <w:rsid w:val="00747E20"/>
    <w:rsid w:val="00747E4C"/>
    <w:rsid w:val="00752BB9"/>
    <w:rsid w:val="00752E3D"/>
    <w:rsid w:val="00752F77"/>
    <w:rsid w:val="0075392F"/>
    <w:rsid w:val="007547EE"/>
    <w:rsid w:val="00755714"/>
    <w:rsid w:val="007602AA"/>
    <w:rsid w:val="00760897"/>
    <w:rsid w:val="00761368"/>
    <w:rsid w:val="007618D7"/>
    <w:rsid w:val="00762DEC"/>
    <w:rsid w:val="007637A6"/>
    <w:rsid w:val="00763AAD"/>
    <w:rsid w:val="00763B61"/>
    <w:rsid w:val="0076401F"/>
    <w:rsid w:val="00764871"/>
    <w:rsid w:val="00766ACE"/>
    <w:rsid w:val="00766CFE"/>
    <w:rsid w:val="007671DA"/>
    <w:rsid w:val="00773DB0"/>
    <w:rsid w:val="00774C4C"/>
    <w:rsid w:val="00775F70"/>
    <w:rsid w:val="007769C7"/>
    <w:rsid w:val="00776AC7"/>
    <w:rsid w:val="00776DC0"/>
    <w:rsid w:val="007775E9"/>
    <w:rsid w:val="00777CFA"/>
    <w:rsid w:val="00780680"/>
    <w:rsid w:val="0078147E"/>
    <w:rsid w:val="007815B7"/>
    <w:rsid w:val="007818E9"/>
    <w:rsid w:val="00781CD3"/>
    <w:rsid w:val="00781DD4"/>
    <w:rsid w:val="0078210C"/>
    <w:rsid w:val="00782318"/>
    <w:rsid w:val="00790DA7"/>
    <w:rsid w:val="007919C2"/>
    <w:rsid w:val="007929D1"/>
    <w:rsid w:val="00792DF4"/>
    <w:rsid w:val="00794EF9"/>
    <w:rsid w:val="00795096"/>
    <w:rsid w:val="007A00A3"/>
    <w:rsid w:val="007A00D3"/>
    <w:rsid w:val="007A0100"/>
    <w:rsid w:val="007A0402"/>
    <w:rsid w:val="007A05A2"/>
    <w:rsid w:val="007A10C3"/>
    <w:rsid w:val="007A13AC"/>
    <w:rsid w:val="007A1B67"/>
    <w:rsid w:val="007A1F48"/>
    <w:rsid w:val="007A2310"/>
    <w:rsid w:val="007A2B64"/>
    <w:rsid w:val="007A2CEB"/>
    <w:rsid w:val="007A2D6E"/>
    <w:rsid w:val="007A2DAC"/>
    <w:rsid w:val="007A31AE"/>
    <w:rsid w:val="007A381B"/>
    <w:rsid w:val="007A40A0"/>
    <w:rsid w:val="007A4D60"/>
    <w:rsid w:val="007A5D27"/>
    <w:rsid w:val="007A7AC4"/>
    <w:rsid w:val="007B01AC"/>
    <w:rsid w:val="007B0E54"/>
    <w:rsid w:val="007B1A85"/>
    <w:rsid w:val="007B2BA8"/>
    <w:rsid w:val="007B3078"/>
    <w:rsid w:val="007B4A2C"/>
    <w:rsid w:val="007B6292"/>
    <w:rsid w:val="007B653D"/>
    <w:rsid w:val="007B68D6"/>
    <w:rsid w:val="007B73B9"/>
    <w:rsid w:val="007B7648"/>
    <w:rsid w:val="007C0827"/>
    <w:rsid w:val="007C1280"/>
    <w:rsid w:val="007C1298"/>
    <w:rsid w:val="007C1309"/>
    <w:rsid w:val="007C161B"/>
    <w:rsid w:val="007C177B"/>
    <w:rsid w:val="007C1A4F"/>
    <w:rsid w:val="007C1B85"/>
    <w:rsid w:val="007C1EAA"/>
    <w:rsid w:val="007C2016"/>
    <w:rsid w:val="007C2D75"/>
    <w:rsid w:val="007C379C"/>
    <w:rsid w:val="007C38A5"/>
    <w:rsid w:val="007C3966"/>
    <w:rsid w:val="007C41FD"/>
    <w:rsid w:val="007C4EAF"/>
    <w:rsid w:val="007C69B2"/>
    <w:rsid w:val="007D056B"/>
    <w:rsid w:val="007D0AE7"/>
    <w:rsid w:val="007D39F8"/>
    <w:rsid w:val="007D5431"/>
    <w:rsid w:val="007D547A"/>
    <w:rsid w:val="007D557B"/>
    <w:rsid w:val="007D575A"/>
    <w:rsid w:val="007D597D"/>
    <w:rsid w:val="007D642E"/>
    <w:rsid w:val="007D6DD8"/>
    <w:rsid w:val="007D7463"/>
    <w:rsid w:val="007D7CD8"/>
    <w:rsid w:val="007E0B23"/>
    <w:rsid w:val="007E2717"/>
    <w:rsid w:val="007E2D4A"/>
    <w:rsid w:val="007E3309"/>
    <w:rsid w:val="007E3D2D"/>
    <w:rsid w:val="007E4BD7"/>
    <w:rsid w:val="007E56EC"/>
    <w:rsid w:val="007E6265"/>
    <w:rsid w:val="007E6662"/>
    <w:rsid w:val="007E7F72"/>
    <w:rsid w:val="007F0383"/>
    <w:rsid w:val="007F1DE7"/>
    <w:rsid w:val="007F1FBC"/>
    <w:rsid w:val="007F2723"/>
    <w:rsid w:val="007F2738"/>
    <w:rsid w:val="007F45FE"/>
    <w:rsid w:val="007F5E17"/>
    <w:rsid w:val="007F5ED7"/>
    <w:rsid w:val="007F6BD3"/>
    <w:rsid w:val="007F74E0"/>
    <w:rsid w:val="007F767D"/>
    <w:rsid w:val="007F791C"/>
    <w:rsid w:val="007F7954"/>
    <w:rsid w:val="00800302"/>
    <w:rsid w:val="00802179"/>
    <w:rsid w:val="00802CD9"/>
    <w:rsid w:val="00802E35"/>
    <w:rsid w:val="008030AB"/>
    <w:rsid w:val="0080375C"/>
    <w:rsid w:val="008068B8"/>
    <w:rsid w:val="00806A8D"/>
    <w:rsid w:val="00806CF6"/>
    <w:rsid w:val="00807A8B"/>
    <w:rsid w:val="00807B37"/>
    <w:rsid w:val="00811C02"/>
    <w:rsid w:val="008134CC"/>
    <w:rsid w:val="00814059"/>
    <w:rsid w:val="00814243"/>
    <w:rsid w:val="008146BB"/>
    <w:rsid w:val="00815E0F"/>
    <w:rsid w:val="00816B32"/>
    <w:rsid w:val="00821A4D"/>
    <w:rsid w:val="00821C33"/>
    <w:rsid w:val="0082235D"/>
    <w:rsid w:val="0082287B"/>
    <w:rsid w:val="0082360E"/>
    <w:rsid w:val="00824354"/>
    <w:rsid w:val="008244EC"/>
    <w:rsid w:val="008263E8"/>
    <w:rsid w:val="0082704B"/>
    <w:rsid w:val="008302B6"/>
    <w:rsid w:val="00830E68"/>
    <w:rsid w:val="00831D59"/>
    <w:rsid w:val="008323FE"/>
    <w:rsid w:val="00833B02"/>
    <w:rsid w:val="00833C25"/>
    <w:rsid w:val="00833F81"/>
    <w:rsid w:val="008362D5"/>
    <w:rsid w:val="008364A3"/>
    <w:rsid w:val="008366D1"/>
    <w:rsid w:val="00837385"/>
    <w:rsid w:val="00837870"/>
    <w:rsid w:val="00837C09"/>
    <w:rsid w:val="0083A45A"/>
    <w:rsid w:val="0084076F"/>
    <w:rsid w:val="00840C1C"/>
    <w:rsid w:val="00840F9B"/>
    <w:rsid w:val="00842C21"/>
    <w:rsid w:val="0084362C"/>
    <w:rsid w:val="00843BE7"/>
    <w:rsid w:val="008453B8"/>
    <w:rsid w:val="008453EE"/>
    <w:rsid w:val="00845EAB"/>
    <w:rsid w:val="00845FBF"/>
    <w:rsid w:val="00850669"/>
    <w:rsid w:val="00851D5B"/>
    <w:rsid w:val="008530CD"/>
    <w:rsid w:val="008538D6"/>
    <w:rsid w:val="00853E52"/>
    <w:rsid w:val="00854BE1"/>
    <w:rsid w:val="00854BFD"/>
    <w:rsid w:val="00855501"/>
    <w:rsid w:val="00856BFA"/>
    <w:rsid w:val="0085716B"/>
    <w:rsid w:val="0085756A"/>
    <w:rsid w:val="00857779"/>
    <w:rsid w:val="008603BA"/>
    <w:rsid w:val="00860BC1"/>
    <w:rsid w:val="00860C3D"/>
    <w:rsid w:val="00862091"/>
    <w:rsid w:val="008623FA"/>
    <w:rsid w:val="008626AD"/>
    <w:rsid w:val="00863273"/>
    <w:rsid w:val="00863285"/>
    <w:rsid w:val="00865D87"/>
    <w:rsid w:val="0086654B"/>
    <w:rsid w:val="00867100"/>
    <w:rsid w:val="00867143"/>
    <w:rsid w:val="00867652"/>
    <w:rsid w:val="00870088"/>
    <w:rsid w:val="00870C48"/>
    <w:rsid w:val="00870D07"/>
    <w:rsid w:val="008711F6"/>
    <w:rsid w:val="00872368"/>
    <w:rsid w:val="00873811"/>
    <w:rsid w:val="00873818"/>
    <w:rsid w:val="00874F4C"/>
    <w:rsid w:val="00875A0E"/>
    <w:rsid w:val="00875CC4"/>
    <w:rsid w:val="008770F8"/>
    <w:rsid w:val="00877178"/>
    <w:rsid w:val="008778B1"/>
    <w:rsid w:val="00877A55"/>
    <w:rsid w:val="00877B35"/>
    <w:rsid w:val="00877D9F"/>
    <w:rsid w:val="008805B0"/>
    <w:rsid w:val="008807F4"/>
    <w:rsid w:val="00880D9B"/>
    <w:rsid w:val="00881375"/>
    <w:rsid w:val="008816C8"/>
    <w:rsid w:val="008818A8"/>
    <w:rsid w:val="00881EF3"/>
    <w:rsid w:val="00882366"/>
    <w:rsid w:val="0088274D"/>
    <w:rsid w:val="00882DD4"/>
    <w:rsid w:val="00883AB7"/>
    <w:rsid w:val="008843CD"/>
    <w:rsid w:val="008848F8"/>
    <w:rsid w:val="008858E5"/>
    <w:rsid w:val="00887954"/>
    <w:rsid w:val="0089034E"/>
    <w:rsid w:val="0089080D"/>
    <w:rsid w:val="008909FF"/>
    <w:rsid w:val="00891C99"/>
    <w:rsid w:val="00892784"/>
    <w:rsid w:val="00894DC0"/>
    <w:rsid w:val="00895414"/>
    <w:rsid w:val="00895EE5"/>
    <w:rsid w:val="008971EB"/>
    <w:rsid w:val="00897EA0"/>
    <w:rsid w:val="008A0192"/>
    <w:rsid w:val="008A047F"/>
    <w:rsid w:val="008A052D"/>
    <w:rsid w:val="008A1694"/>
    <w:rsid w:val="008A2AA9"/>
    <w:rsid w:val="008A2F18"/>
    <w:rsid w:val="008A382A"/>
    <w:rsid w:val="008A3A66"/>
    <w:rsid w:val="008A41BB"/>
    <w:rsid w:val="008A4445"/>
    <w:rsid w:val="008A5347"/>
    <w:rsid w:val="008A66C1"/>
    <w:rsid w:val="008A6BB6"/>
    <w:rsid w:val="008A7BC4"/>
    <w:rsid w:val="008B0A05"/>
    <w:rsid w:val="008B0A8D"/>
    <w:rsid w:val="008B0CC7"/>
    <w:rsid w:val="008B0EB6"/>
    <w:rsid w:val="008B0EF9"/>
    <w:rsid w:val="008B1D2D"/>
    <w:rsid w:val="008B2184"/>
    <w:rsid w:val="008B26C9"/>
    <w:rsid w:val="008B36DA"/>
    <w:rsid w:val="008B4270"/>
    <w:rsid w:val="008B7357"/>
    <w:rsid w:val="008B7490"/>
    <w:rsid w:val="008B74F7"/>
    <w:rsid w:val="008C1012"/>
    <w:rsid w:val="008C12F0"/>
    <w:rsid w:val="008C48F9"/>
    <w:rsid w:val="008C4B35"/>
    <w:rsid w:val="008C56E7"/>
    <w:rsid w:val="008C58A5"/>
    <w:rsid w:val="008C6632"/>
    <w:rsid w:val="008C6676"/>
    <w:rsid w:val="008C7604"/>
    <w:rsid w:val="008C7F9E"/>
    <w:rsid w:val="008D0875"/>
    <w:rsid w:val="008D0887"/>
    <w:rsid w:val="008D10F0"/>
    <w:rsid w:val="008D1648"/>
    <w:rsid w:val="008D37A7"/>
    <w:rsid w:val="008D411A"/>
    <w:rsid w:val="008D419C"/>
    <w:rsid w:val="008D6A0F"/>
    <w:rsid w:val="008D6FB0"/>
    <w:rsid w:val="008E0BB5"/>
    <w:rsid w:val="008E1426"/>
    <w:rsid w:val="008E1AE5"/>
    <w:rsid w:val="008E31A8"/>
    <w:rsid w:val="008E41FE"/>
    <w:rsid w:val="008E65E2"/>
    <w:rsid w:val="008E68B3"/>
    <w:rsid w:val="008E6A98"/>
    <w:rsid w:val="008E6DE2"/>
    <w:rsid w:val="008E6E66"/>
    <w:rsid w:val="008E741C"/>
    <w:rsid w:val="008F0306"/>
    <w:rsid w:val="008F173C"/>
    <w:rsid w:val="008F1D72"/>
    <w:rsid w:val="008F2D69"/>
    <w:rsid w:val="008F31B0"/>
    <w:rsid w:val="008F3405"/>
    <w:rsid w:val="008F3689"/>
    <w:rsid w:val="008F4791"/>
    <w:rsid w:val="008F502A"/>
    <w:rsid w:val="008F6FFA"/>
    <w:rsid w:val="008F7399"/>
    <w:rsid w:val="00900556"/>
    <w:rsid w:val="00900DF8"/>
    <w:rsid w:val="00901CF1"/>
    <w:rsid w:val="00902199"/>
    <w:rsid w:val="00902F71"/>
    <w:rsid w:val="00903358"/>
    <w:rsid w:val="00905020"/>
    <w:rsid w:val="00905995"/>
    <w:rsid w:val="00905D62"/>
    <w:rsid w:val="00905DB7"/>
    <w:rsid w:val="009067D1"/>
    <w:rsid w:val="00907B57"/>
    <w:rsid w:val="009111DA"/>
    <w:rsid w:val="0091131D"/>
    <w:rsid w:val="00911A1E"/>
    <w:rsid w:val="00913E01"/>
    <w:rsid w:val="00914607"/>
    <w:rsid w:val="009148F5"/>
    <w:rsid w:val="00914CCB"/>
    <w:rsid w:val="00920817"/>
    <w:rsid w:val="00921178"/>
    <w:rsid w:val="00921268"/>
    <w:rsid w:val="00921955"/>
    <w:rsid w:val="0092472C"/>
    <w:rsid w:val="009258E2"/>
    <w:rsid w:val="00925D4C"/>
    <w:rsid w:val="009262E4"/>
    <w:rsid w:val="009301B7"/>
    <w:rsid w:val="00930605"/>
    <w:rsid w:val="009312C9"/>
    <w:rsid w:val="0093215E"/>
    <w:rsid w:val="0093247D"/>
    <w:rsid w:val="0093297D"/>
    <w:rsid w:val="009333F5"/>
    <w:rsid w:val="00933894"/>
    <w:rsid w:val="00933931"/>
    <w:rsid w:val="0093416B"/>
    <w:rsid w:val="009342FB"/>
    <w:rsid w:val="00934A34"/>
    <w:rsid w:val="00935348"/>
    <w:rsid w:val="009354BF"/>
    <w:rsid w:val="00935E1A"/>
    <w:rsid w:val="00936623"/>
    <w:rsid w:val="00936B95"/>
    <w:rsid w:val="009372AA"/>
    <w:rsid w:val="0093778A"/>
    <w:rsid w:val="00937C88"/>
    <w:rsid w:val="00937EB8"/>
    <w:rsid w:val="0094084E"/>
    <w:rsid w:val="009409DD"/>
    <w:rsid w:val="00940C9C"/>
    <w:rsid w:val="00940EE8"/>
    <w:rsid w:val="009416F0"/>
    <w:rsid w:val="009426B8"/>
    <w:rsid w:val="00942DB1"/>
    <w:rsid w:val="00943AB7"/>
    <w:rsid w:val="00943D51"/>
    <w:rsid w:val="00944151"/>
    <w:rsid w:val="00944ACD"/>
    <w:rsid w:val="0094650A"/>
    <w:rsid w:val="0095027C"/>
    <w:rsid w:val="009504BC"/>
    <w:rsid w:val="00951966"/>
    <w:rsid w:val="009536B6"/>
    <w:rsid w:val="0095398B"/>
    <w:rsid w:val="00953AFE"/>
    <w:rsid w:val="00953C78"/>
    <w:rsid w:val="00954E99"/>
    <w:rsid w:val="0095527B"/>
    <w:rsid w:val="009563CE"/>
    <w:rsid w:val="00956E45"/>
    <w:rsid w:val="00957794"/>
    <w:rsid w:val="009603E6"/>
    <w:rsid w:val="00960FBD"/>
    <w:rsid w:val="00961801"/>
    <w:rsid w:val="0096184F"/>
    <w:rsid w:val="0096284E"/>
    <w:rsid w:val="00963590"/>
    <w:rsid w:val="00963F83"/>
    <w:rsid w:val="00964646"/>
    <w:rsid w:val="00964793"/>
    <w:rsid w:val="00965943"/>
    <w:rsid w:val="00965EB6"/>
    <w:rsid w:val="0096612E"/>
    <w:rsid w:val="00966322"/>
    <w:rsid w:val="0096673C"/>
    <w:rsid w:val="0096706C"/>
    <w:rsid w:val="00970079"/>
    <w:rsid w:val="00971C98"/>
    <w:rsid w:val="00972DE4"/>
    <w:rsid w:val="009751E7"/>
    <w:rsid w:val="00975871"/>
    <w:rsid w:val="00975ECE"/>
    <w:rsid w:val="00976DBD"/>
    <w:rsid w:val="00981872"/>
    <w:rsid w:val="00982F53"/>
    <w:rsid w:val="0098441D"/>
    <w:rsid w:val="0098572D"/>
    <w:rsid w:val="00985C38"/>
    <w:rsid w:val="00986285"/>
    <w:rsid w:val="009867D2"/>
    <w:rsid w:val="009868D5"/>
    <w:rsid w:val="009869C7"/>
    <w:rsid w:val="00986E04"/>
    <w:rsid w:val="0098711A"/>
    <w:rsid w:val="00987487"/>
    <w:rsid w:val="0098777D"/>
    <w:rsid w:val="0098787A"/>
    <w:rsid w:val="00990F56"/>
    <w:rsid w:val="00991AB8"/>
    <w:rsid w:val="009920F1"/>
    <w:rsid w:val="00992944"/>
    <w:rsid w:val="0099311E"/>
    <w:rsid w:val="009939EE"/>
    <w:rsid w:val="00994427"/>
    <w:rsid w:val="0099482B"/>
    <w:rsid w:val="00994BAE"/>
    <w:rsid w:val="00994C97"/>
    <w:rsid w:val="009967D0"/>
    <w:rsid w:val="009976CA"/>
    <w:rsid w:val="009A0D74"/>
    <w:rsid w:val="009A10B1"/>
    <w:rsid w:val="009A2285"/>
    <w:rsid w:val="009A28B8"/>
    <w:rsid w:val="009A2A09"/>
    <w:rsid w:val="009A40A9"/>
    <w:rsid w:val="009A48F7"/>
    <w:rsid w:val="009A4DF1"/>
    <w:rsid w:val="009A501C"/>
    <w:rsid w:val="009A502B"/>
    <w:rsid w:val="009A6565"/>
    <w:rsid w:val="009A6621"/>
    <w:rsid w:val="009A7398"/>
    <w:rsid w:val="009B0971"/>
    <w:rsid w:val="009B0D46"/>
    <w:rsid w:val="009B1B17"/>
    <w:rsid w:val="009B205B"/>
    <w:rsid w:val="009B3491"/>
    <w:rsid w:val="009B42A1"/>
    <w:rsid w:val="009B446B"/>
    <w:rsid w:val="009B4D75"/>
    <w:rsid w:val="009B52B0"/>
    <w:rsid w:val="009B6B23"/>
    <w:rsid w:val="009B6DDA"/>
    <w:rsid w:val="009B7353"/>
    <w:rsid w:val="009B74E1"/>
    <w:rsid w:val="009C105C"/>
    <w:rsid w:val="009C15F4"/>
    <w:rsid w:val="009C251D"/>
    <w:rsid w:val="009C2BC4"/>
    <w:rsid w:val="009C3A03"/>
    <w:rsid w:val="009C3BC9"/>
    <w:rsid w:val="009C443E"/>
    <w:rsid w:val="009C476F"/>
    <w:rsid w:val="009C47B1"/>
    <w:rsid w:val="009C5690"/>
    <w:rsid w:val="009C6422"/>
    <w:rsid w:val="009D0506"/>
    <w:rsid w:val="009D09C0"/>
    <w:rsid w:val="009D2106"/>
    <w:rsid w:val="009D2446"/>
    <w:rsid w:val="009D2937"/>
    <w:rsid w:val="009D3653"/>
    <w:rsid w:val="009D3715"/>
    <w:rsid w:val="009D3F16"/>
    <w:rsid w:val="009D3FE1"/>
    <w:rsid w:val="009D472C"/>
    <w:rsid w:val="009D52E5"/>
    <w:rsid w:val="009D601D"/>
    <w:rsid w:val="009D63BE"/>
    <w:rsid w:val="009D6B46"/>
    <w:rsid w:val="009D7058"/>
    <w:rsid w:val="009D7342"/>
    <w:rsid w:val="009D7680"/>
    <w:rsid w:val="009D7F15"/>
    <w:rsid w:val="009E122A"/>
    <w:rsid w:val="009E146D"/>
    <w:rsid w:val="009E28AF"/>
    <w:rsid w:val="009E2C49"/>
    <w:rsid w:val="009E3483"/>
    <w:rsid w:val="009E488D"/>
    <w:rsid w:val="009E642E"/>
    <w:rsid w:val="009F00CF"/>
    <w:rsid w:val="009F0904"/>
    <w:rsid w:val="009F0C82"/>
    <w:rsid w:val="009F1A49"/>
    <w:rsid w:val="009F2ECE"/>
    <w:rsid w:val="009F366B"/>
    <w:rsid w:val="009F3CCB"/>
    <w:rsid w:val="009F3F2C"/>
    <w:rsid w:val="009F6722"/>
    <w:rsid w:val="009F6803"/>
    <w:rsid w:val="009F693E"/>
    <w:rsid w:val="009F74C0"/>
    <w:rsid w:val="009F7FED"/>
    <w:rsid w:val="00A0040B"/>
    <w:rsid w:val="00A006BF"/>
    <w:rsid w:val="00A009F3"/>
    <w:rsid w:val="00A01068"/>
    <w:rsid w:val="00A01634"/>
    <w:rsid w:val="00A02CAA"/>
    <w:rsid w:val="00A035AD"/>
    <w:rsid w:val="00A03A91"/>
    <w:rsid w:val="00A045AD"/>
    <w:rsid w:val="00A0478A"/>
    <w:rsid w:val="00A04D46"/>
    <w:rsid w:val="00A064F4"/>
    <w:rsid w:val="00A079F1"/>
    <w:rsid w:val="00A07C69"/>
    <w:rsid w:val="00A09F3C"/>
    <w:rsid w:val="00A1081A"/>
    <w:rsid w:val="00A10D61"/>
    <w:rsid w:val="00A1171E"/>
    <w:rsid w:val="00A119F1"/>
    <w:rsid w:val="00A11CB5"/>
    <w:rsid w:val="00A12222"/>
    <w:rsid w:val="00A122B5"/>
    <w:rsid w:val="00A123AF"/>
    <w:rsid w:val="00A13A09"/>
    <w:rsid w:val="00A1495A"/>
    <w:rsid w:val="00A14A03"/>
    <w:rsid w:val="00A15E37"/>
    <w:rsid w:val="00A16CDE"/>
    <w:rsid w:val="00A1720D"/>
    <w:rsid w:val="00A1759B"/>
    <w:rsid w:val="00A2028A"/>
    <w:rsid w:val="00A20D9A"/>
    <w:rsid w:val="00A219B7"/>
    <w:rsid w:val="00A221D7"/>
    <w:rsid w:val="00A24FF4"/>
    <w:rsid w:val="00A25159"/>
    <w:rsid w:val="00A252D7"/>
    <w:rsid w:val="00A259DF"/>
    <w:rsid w:val="00A25C63"/>
    <w:rsid w:val="00A25C92"/>
    <w:rsid w:val="00A2714F"/>
    <w:rsid w:val="00A27D19"/>
    <w:rsid w:val="00A302AB"/>
    <w:rsid w:val="00A306E3"/>
    <w:rsid w:val="00A30827"/>
    <w:rsid w:val="00A30C9E"/>
    <w:rsid w:val="00A32EB5"/>
    <w:rsid w:val="00A33E40"/>
    <w:rsid w:val="00A340C0"/>
    <w:rsid w:val="00A340CC"/>
    <w:rsid w:val="00A34F47"/>
    <w:rsid w:val="00A3512D"/>
    <w:rsid w:val="00A358C1"/>
    <w:rsid w:val="00A404DF"/>
    <w:rsid w:val="00A40A4B"/>
    <w:rsid w:val="00A41E90"/>
    <w:rsid w:val="00A41E94"/>
    <w:rsid w:val="00A41F6B"/>
    <w:rsid w:val="00A42DCA"/>
    <w:rsid w:val="00A441FB"/>
    <w:rsid w:val="00A4456E"/>
    <w:rsid w:val="00A446C6"/>
    <w:rsid w:val="00A44901"/>
    <w:rsid w:val="00A45383"/>
    <w:rsid w:val="00A467AC"/>
    <w:rsid w:val="00A46D87"/>
    <w:rsid w:val="00A473FF"/>
    <w:rsid w:val="00A4780F"/>
    <w:rsid w:val="00A47E60"/>
    <w:rsid w:val="00A47F86"/>
    <w:rsid w:val="00A50B63"/>
    <w:rsid w:val="00A50C89"/>
    <w:rsid w:val="00A51A82"/>
    <w:rsid w:val="00A5209F"/>
    <w:rsid w:val="00A52554"/>
    <w:rsid w:val="00A543AD"/>
    <w:rsid w:val="00A55037"/>
    <w:rsid w:val="00A55928"/>
    <w:rsid w:val="00A57633"/>
    <w:rsid w:val="00A607FF"/>
    <w:rsid w:val="00A60E6E"/>
    <w:rsid w:val="00A6159F"/>
    <w:rsid w:val="00A617A1"/>
    <w:rsid w:val="00A61947"/>
    <w:rsid w:val="00A61B07"/>
    <w:rsid w:val="00A62E94"/>
    <w:rsid w:val="00A6362B"/>
    <w:rsid w:val="00A63DC6"/>
    <w:rsid w:val="00A63FB4"/>
    <w:rsid w:val="00A64994"/>
    <w:rsid w:val="00A65D08"/>
    <w:rsid w:val="00A6606F"/>
    <w:rsid w:val="00A66219"/>
    <w:rsid w:val="00A6639A"/>
    <w:rsid w:val="00A66CB4"/>
    <w:rsid w:val="00A67361"/>
    <w:rsid w:val="00A67B12"/>
    <w:rsid w:val="00A67D68"/>
    <w:rsid w:val="00A70F06"/>
    <w:rsid w:val="00A71113"/>
    <w:rsid w:val="00A71B95"/>
    <w:rsid w:val="00A72148"/>
    <w:rsid w:val="00A7265E"/>
    <w:rsid w:val="00A72E2E"/>
    <w:rsid w:val="00A73435"/>
    <w:rsid w:val="00A73FBC"/>
    <w:rsid w:val="00A74334"/>
    <w:rsid w:val="00A74382"/>
    <w:rsid w:val="00A75FFD"/>
    <w:rsid w:val="00A77413"/>
    <w:rsid w:val="00A77485"/>
    <w:rsid w:val="00A77BB3"/>
    <w:rsid w:val="00A803DC"/>
    <w:rsid w:val="00A80936"/>
    <w:rsid w:val="00A8117C"/>
    <w:rsid w:val="00A8143D"/>
    <w:rsid w:val="00A82785"/>
    <w:rsid w:val="00A82D56"/>
    <w:rsid w:val="00A831C5"/>
    <w:rsid w:val="00A8339A"/>
    <w:rsid w:val="00A83421"/>
    <w:rsid w:val="00A83489"/>
    <w:rsid w:val="00A84B65"/>
    <w:rsid w:val="00A87DD2"/>
    <w:rsid w:val="00A901E1"/>
    <w:rsid w:val="00A9160D"/>
    <w:rsid w:val="00A92E8A"/>
    <w:rsid w:val="00A9329E"/>
    <w:rsid w:val="00A9351B"/>
    <w:rsid w:val="00A93D1A"/>
    <w:rsid w:val="00A95643"/>
    <w:rsid w:val="00A95C6B"/>
    <w:rsid w:val="00A971E4"/>
    <w:rsid w:val="00A977FA"/>
    <w:rsid w:val="00A97F7B"/>
    <w:rsid w:val="00A97FA1"/>
    <w:rsid w:val="00AA0A8A"/>
    <w:rsid w:val="00AA0CA2"/>
    <w:rsid w:val="00AA1A2B"/>
    <w:rsid w:val="00AA1C3E"/>
    <w:rsid w:val="00AA20F7"/>
    <w:rsid w:val="00AA23AB"/>
    <w:rsid w:val="00AA3255"/>
    <w:rsid w:val="00AA39ED"/>
    <w:rsid w:val="00AA438C"/>
    <w:rsid w:val="00AA4C5A"/>
    <w:rsid w:val="00AA4C8D"/>
    <w:rsid w:val="00AA4F95"/>
    <w:rsid w:val="00AA5ADA"/>
    <w:rsid w:val="00AA5FA3"/>
    <w:rsid w:val="00AA7C1A"/>
    <w:rsid w:val="00AB10F0"/>
    <w:rsid w:val="00AB1307"/>
    <w:rsid w:val="00AB1C75"/>
    <w:rsid w:val="00AB2FF6"/>
    <w:rsid w:val="00AB32D9"/>
    <w:rsid w:val="00AB3B72"/>
    <w:rsid w:val="00AB465E"/>
    <w:rsid w:val="00AB50ED"/>
    <w:rsid w:val="00AB5BBF"/>
    <w:rsid w:val="00AB600A"/>
    <w:rsid w:val="00AB6843"/>
    <w:rsid w:val="00AC0CE0"/>
    <w:rsid w:val="00AC10DF"/>
    <w:rsid w:val="00AC1101"/>
    <w:rsid w:val="00AC1420"/>
    <w:rsid w:val="00AC1E1A"/>
    <w:rsid w:val="00AC1E22"/>
    <w:rsid w:val="00AC2172"/>
    <w:rsid w:val="00AC2343"/>
    <w:rsid w:val="00AC2B0D"/>
    <w:rsid w:val="00AC2DBE"/>
    <w:rsid w:val="00AC354B"/>
    <w:rsid w:val="00AC355A"/>
    <w:rsid w:val="00AC3679"/>
    <w:rsid w:val="00AC445F"/>
    <w:rsid w:val="00AC476A"/>
    <w:rsid w:val="00AC54C5"/>
    <w:rsid w:val="00AC5702"/>
    <w:rsid w:val="00AC5850"/>
    <w:rsid w:val="00AC58A5"/>
    <w:rsid w:val="00AC60D2"/>
    <w:rsid w:val="00AC7A22"/>
    <w:rsid w:val="00AC7D09"/>
    <w:rsid w:val="00AD02FE"/>
    <w:rsid w:val="00AD0AE8"/>
    <w:rsid w:val="00AD0DAE"/>
    <w:rsid w:val="00AD1156"/>
    <w:rsid w:val="00AD1E82"/>
    <w:rsid w:val="00AD2248"/>
    <w:rsid w:val="00AD22AB"/>
    <w:rsid w:val="00AD293D"/>
    <w:rsid w:val="00AD2A06"/>
    <w:rsid w:val="00AD415D"/>
    <w:rsid w:val="00AD5DDE"/>
    <w:rsid w:val="00AD68BF"/>
    <w:rsid w:val="00AD6C55"/>
    <w:rsid w:val="00AD797A"/>
    <w:rsid w:val="00AE0261"/>
    <w:rsid w:val="00AE094D"/>
    <w:rsid w:val="00AE1D88"/>
    <w:rsid w:val="00AE3351"/>
    <w:rsid w:val="00AE5D4A"/>
    <w:rsid w:val="00AE6927"/>
    <w:rsid w:val="00AE6A79"/>
    <w:rsid w:val="00AE6D79"/>
    <w:rsid w:val="00AF06DE"/>
    <w:rsid w:val="00AF083F"/>
    <w:rsid w:val="00AF091A"/>
    <w:rsid w:val="00AF1667"/>
    <w:rsid w:val="00AF1DDF"/>
    <w:rsid w:val="00AF20B8"/>
    <w:rsid w:val="00AF24F0"/>
    <w:rsid w:val="00AF2B8A"/>
    <w:rsid w:val="00AF35C6"/>
    <w:rsid w:val="00AF41F4"/>
    <w:rsid w:val="00AF57F0"/>
    <w:rsid w:val="00AF59E6"/>
    <w:rsid w:val="00AF60FB"/>
    <w:rsid w:val="00AF699F"/>
    <w:rsid w:val="00AF69CA"/>
    <w:rsid w:val="00AF6BB9"/>
    <w:rsid w:val="00AF732D"/>
    <w:rsid w:val="00AF8230"/>
    <w:rsid w:val="00B00A5F"/>
    <w:rsid w:val="00B00CA3"/>
    <w:rsid w:val="00B02FDA"/>
    <w:rsid w:val="00B0541D"/>
    <w:rsid w:val="00B05E24"/>
    <w:rsid w:val="00B07CBD"/>
    <w:rsid w:val="00B10C13"/>
    <w:rsid w:val="00B11DD9"/>
    <w:rsid w:val="00B12437"/>
    <w:rsid w:val="00B14111"/>
    <w:rsid w:val="00B150D5"/>
    <w:rsid w:val="00B15520"/>
    <w:rsid w:val="00B163DD"/>
    <w:rsid w:val="00B20822"/>
    <w:rsid w:val="00B211D9"/>
    <w:rsid w:val="00B21AB2"/>
    <w:rsid w:val="00B21CE6"/>
    <w:rsid w:val="00B23066"/>
    <w:rsid w:val="00B236D1"/>
    <w:rsid w:val="00B2472D"/>
    <w:rsid w:val="00B24B70"/>
    <w:rsid w:val="00B2549B"/>
    <w:rsid w:val="00B257E2"/>
    <w:rsid w:val="00B265A5"/>
    <w:rsid w:val="00B27A63"/>
    <w:rsid w:val="00B27A92"/>
    <w:rsid w:val="00B3052A"/>
    <w:rsid w:val="00B3157D"/>
    <w:rsid w:val="00B31B45"/>
    <w:rsid w:val="00B31D9A"/>
    <w:rsid w:val="00B31E48"/>
    <w:rsid w:val="00B3256D"/>
    <w:rsid w:val="00B33608"/>
    <w:rsid w:val="00B33B50"/>
    <w:rsid w:val="00B342B4"/>
    <w:rsid w:val="00B3495A"/>
    <w:rsid w:val="00B34A2B"/>
    <w:rsid w:val="00B34F25"/>
    <w:rsid w:val="00B35603"/>
    <w:rsid w:val="00B3705B"/>
    <w:rsid w:val="00B37FFC"/>
    <w:rsid w:val="00B40016"/>
    <w:rsid w:val="00B403A1"/>
    <w:rsid w:val="00B40A69"/>
    <w:rsid w:val="00B417AB"/>
    <w:rsid w:val="00B41EB0"/>
    <w:rsid w:val="00B42BFE"/>
    <w:rsid w:val="00B43B68"/>
    <w:rsid w:val="00B4419D"/>
    <w:rsid w:val="00B448CB"/>
    <w:rsid w:val="00B45E5D"/>
    <w:rsid w:val="00B46455"/>
    <w:rsid w:val="00B46777"/>
    <w:rsid w:val="00B4681B"/>
    <w:rsid w:val="00B47346"/>
    <w:rsid w:val="00B47F1C"/>
    <w:rsid w:val="00B51065"/>
    <w:rsid w:val="00B51247"/>
    <w:rsid w:val="00B5152F"/>
    <w:rsid w:val="00B52E48"/>
    <w:rsid w:val="00B535EC"/>
    <w:rsid w:val="00B53AF3"/>
    <w:rsid w:val="00B541B0"/>
    <w:rsid w:val="00B54356"/>
    <w:rsid w:val="00B54A3A"/>
    <w:rsid w:val="00B54D8D"/>
    <w:rsid w:val="00B54EC0"/>
    <w:rsid w:val="00B55435"/>
    <w:rsid w:val="00B554BD"/>
    <w:rsid w:val="00B558CE"/>
    <w:rsid w:val="00B56E7B"/>
    <w:rsid w:val="00B57103"/>
    <w:rsid w:val="00B57384"/>
    <w:rsid w:val="00B6149E"/>
    <w:rsid w:val="00B61FDD"/>
    <w:rsid w:val="00B6261F"/>
    <w:rsid w:val="00B63234"/>
    <w:rsid w:val="00B63D3D"/>
    <w:rsid w:val="00B63EE3"/>
    <w:rsid w:val="00B668EB"/>
    <w:rsid w:val="00B66F53"/>
    <w:rsid w:val="00B673BD"/>
    <w:rsid w:val="00B70C52"/>
    <w:rsid w:val="00B71408"/>
    <w:rsid w:val="00B71E1B"/>
    <w:rsid w:val="00B72BCB"/>
    <w:rsid w:val="00B730AA"/>
    <w:rsid w:val="00B7322F"/>
    <w:rsid w:val="00B734FF"/>
    <w:rsid w:val="00B7353B"/>
    <w:rsid w:val="00B757A4"/>
    <w:rsid w:val="00B76C95"/>
    <w:rsid w:val="00B76FFB"/>
    <w:rsid w:val="00B77599"/>
    <w:rsid w:val="00B778BF"/>
    <w:rsid w:val="00B8026C"/>
    <w:rsid w:val="00B81AD7"/>
    <w:rsid w:val="00B81BE6"/>
    <w:rsid w:val="00B82154"/>
    <w:rsid w:val="00B8234D"/>
    <w:rsid w:val="00B83248"/>
    <w:rsid w:val="00B835A7"/>
    <w:rsid w:val="00B83F70"/>
    <w:rsid w:val="00B84347"/>
    <w:rsid w:val="00B8454F"/>
    <w:rsid w:val="00B84BC3"/>
    <w:rsid w:val="00B86668"/>
    <w:rsid w:val="00B87A2C"/>
    <w:rsid w:val="00B87C78"/>
    <w:rsid w:val="00B90DF8"/>
    <w:rsid w:val="00B91321"/>
    <w:rsid w:val="00B9164F"/>
    <w:rsid w:val="00B9168D"/>
    <w:rsid w:val="00B916BA"/>
    <w:rsid w:val="00B91DA6"/>
    <w:rsid w:val="00B92613"/>
    <w:rsid w:val="00B92817"/>
    <w:rsid w:val="00B9296E"/>
    <w:rsid w:val="00B94641"/>
    <w:rsid w:val="00B957E1"/>
    <w:rsid w:val="00B95B6F"/>
    <w:rsid w:val="00B9699E"/>
    <w:rsid w:val="00B96D7C"/>
    <w:rsid w:val="00B97613"/>
    <w:rsid w:val="00BA06BF"/>
    <w:rsid w:val="00BA0EFF"/>
    <w:rsid w:val="00BA1BB2"/>
    <w:rsid w:val="00BA329A"/>
    <w:rsid w:val="00BA3A4A"/>
    <w:rsid w:val="00BA3FE5"/>
    <w:rsid w:val="00BA4F39"/>
    <w:rsid w:val="00BA7C5D"/>
    <w:rsid w:val="00BB07A1"/>
    <w:rsid w:val="00BB1D87"/>
    <w:rsid w:val="00BB281E"/>
    <w:rsid w:val="00BB2CCE"/>
    <w:rsid w:val="00BB339F"/>
    <w:rsid w:val="00BB3B49"/>
    <w:rsid w:val="00BB3C6F"/>
    <w:rsid w:val="00BB400D"/>
    <w:rsid w:val="00BB4254"/>
    <w:rsid w:val="00BB489B"/>
    <w:rsid w:val="00BC2A09"/>
    <w:rsid w:val="00BC2CF7"/>
    <w:rsid w:val="00BC57AF"/>
    <w:rsid w:val="00BC6059"/>
    <w:rsid w:val="00BC6CDB"/>
    <w:rsid w:val="00BC70D8"/>
    <w:rsid w:val="00BC7864"/>
    <w:rsid w:val="00BC7D8B"/>
    <w:rsid w:val="00BD11CD"/>
    <w:rsid w:val="00BD1C27"/>
    <w:rsid w:val="00BD1DA3"/>
    <w:rsid w:val="00BD2B29"/>
    <w:rsid w:val="00BD383C"/>
    <w:rsid w:val="00BD3CC2"/>
    <w:rsid w:val="00BD3E11"/>
    <w:rsid w:val="00BD5F36"/>
    <w:rsid w:val="00BD655F"/>
    <w:rsid w:val="00BD66F6"/>
    <w:rsid w:val="00BD7AF5"/>
    <w:rsid w:val="00BD7F2E"/>
    <w:rsid w:val="00BE00EF"/>
    <w:rsid w:val="00BE0568"/>
    <w:rsid w:val="00BE1FCF"/>
    <w:rsid w:val="00BE251A"/>
    <w:rsid w:val="00BE27A3"/>
    <w:rsid w:val="00BE28AC"/>
    <w:rsid w:val="00BE33BA"/>
    <w:rsid w:val="00BE3769"/>
    <w:rsid w:val="00BE4BCF"/>
    <w:rsid w:val="00BE5996"/>
    <w:rsid w:val="00BE6050"/>
    <w:rsid w:val="00BE6E65"/>
    <w:rsid w:val="00BE7908"/>
    <w:rsid w:val="00BF00D9"/>
    <w:rsid w:val="00BF0472"/>
    <w:rsid w:val="00BF05C9"/>
    <w:rsid w:val="00BF088C"/>
    <w:rsid w:val="00BF0BF0"/>
    <w:rsid w:val="00BF18B8"/>
    <w:rsid w:val="00BF1F84"/>
    <w:rsid w:val="00BF242F"/>
    <w:rsid w:val="00BF32DA"/>
    <w:rsid w:val="00BF3BED"/>
    <w:rsid w:val="00BF49ED"/>
    <w:rsid w:val="00BF5171"/>
    <w:rsid w:val="00BF5A46"/>
    <w:rsid w:val="00BF7051"/>
    <w:rsid w:val="00C00346"/>
    <w:rsid w:val="00C02390"/>
    <w:rsid w:val="00C030CB"/>
    <w:rsid w:val="00C03296"/>
    <w:rsid w:val="00C0389E"/>
    <w:rsid w:val="00C04277"/>
    <w:rsid w:val="00C04536"/>
    <w:rsid w:val="00C04B81"/>
    <w:rsid w:val="00C056CE"/>
    <w:rsid w:val="00C05866"/>
    <w:rsid w:val="00C0597A"/>
    <w:rsid w:val="00C05F1F"/>
    <w:rsid w:val="00C06AE3"/>
    <w:rsid w:val="00C06BA8"/>
    <w:rsid w:val="00C07FAB"/>
    <w:rsid w:val="00C11F4A"/>
    <w:rsid w:val="00C1284F"/>
    <w:rsid w:val="00C12B08"/>
    <w:rsid w:val="00C12C41"/>
    <w:rsid w:val="00C1327C"/>
    <w:rsid w:val="00C13320"/>
    <w:rsid w:val="00C13981"/>
    <w:rsid w:val="00C13A0B"/>
    <w:rsid w:val="00C13B03"/>
    <w:rsid w:val="00C148A4"/>
    <w:rsid w:val="00C14EE1"/>
    <w:rsid w:val="00C15851"/>
    <w:rsid w:val="00C15870"/>
    <w:rsid w:val="00C17BCC"/>
    <w:rsid w:val="00C20855"/>
    <w:rsid w:val="00C23CD1"/>
    <w:rsid w:val="00C24346"/>
    <w:rsid w:val="00C25A44"/>
    <w:rsid w:val="00C25A56"/>
    <w:rsid w:val="00C25DD2"/>
    <w:rsid w:val="00C26060"/>
    <w:rsid w:val="00C2626C"/>
    <w:rsid w:val="00C26355"/>
    <w:rsid w:val="00C27498"/>
    <w:rsid w:val="00C27974"/>
    <w:rsid w:val="00C279BA"/>
    <w:rsid w:val="00C27C47"/>
    <w:rsid w:val="00C27E86"/>
    <w:rsid w:val="00C27F64"/>
    <w:rsid w:val="00C308E0"/>
    <w:rsid w:val="00C3099A"/>
    <w:rsid w:val="00C31D6D"/>
    <w:rsid w:val="00C32BBD"/>
    <w:rsid w:val="00C333AB"/>
    <w:rsid w:val="00C33423"/>
    <w:rsid w:val="00C335FA"/>
    <w:rsid w:val="00C33762"/>
    <w:rsid w:val="00C33B74"/>
    <w:rsid w:val="00C33C5A"/>
    <w:rsid w:val="00C35E48"/>
    <w:rsid w:val="00C36FEF"/>
    <w:rsid w:val="00C377B5"/>
    <w:rsid w:val="00C40BFE"/>
    <w:rsid w:val="00C41E08"/>
    <w:rsid w:val="00C43709"/>
    <w:rsid w:val="00C43EDB"/>
    <w:rsid w:val="00C44308"/>
    <w:rsid w:val="00C44B3D"/>
    <w:rsid w:val="00C45159"/>
    <w:rsid w:val="00C45937"/>
    <w:rsid w:val="00C467EB"/>
    <w:rsid w:val="00C47487"/>
    <w:rsid w:val="00C476AC"/>
    <w:rsid w:val="00C478D6"/>
    <w:rsid w:val="00C47AE2"/>
    <w:rsid w:val="00C47F6B"/>
    <w:rsid w:val="00C5057B"/>
    <w:rsid w:val="00C51BAE"/>
    <w:rsid w:val="00C52C2C"/>
    <w:rsid w:val="00C54131"/>
    <w:rsid w:val="00C54A4C"/>
    <w:rsid w:val="00C54FF4"/>
    <w:rsid w:val="00C552F2"/>
    <w:rsid w:val="00C55FA2"/>
    <w:rsid w:val="00C568CD"/>
    <w:rsid w:val="00C56CE0"/>
    <w:rsid w:val="00C57646"/>
    <w:rsid w:val="00C57E0E"/>
    <w:rsid w:val="00C60282"/>
    <w:rsid w:val="00C609D3"/>
    <w:rsid w:val="00C60C48"/>
    <w:rsid w:val="00C61574"/>
    <w:rsid w:val="00C6157A"/>
    <w:rsid w:val="00C61FC8"/>
    <w:rsid w:val="00C62FEA"/>
    <w:rsid w:val="00C637D6"/>
    <w:rsid w:val="00C63E17"/>
    <w:rsid w:val="00C63F22"/>
    <w:rsid w:val="00C63F9A"/>
    <w:rsid w:val="00C64002"/>
    <w:rsid w:val="00C65907"/>
    <w:rsid w:val="00C66186"/>
    <w:rsid w:val="00C67235"/>
    <w:rsid w:val="00C676E9"/>
    <w:rsid w:val="00C67AF2"/>
    <w:rsid w:val="00C705A8"/>
    <w:rsid w:val="00C70839"/>
    <w:rsid w:val="00C70C90"/>
    <w:rsid w:val="00C70DFB"/>
    <w:rsid w:val="00C72938"/>
    <w:rsid w:val="00C72B5B"/>
    <w:rsid w:val="00C7364D"/>
    <w:rsid w:val="00C74BED"/>
    <w:rsid w:val="00C74D4A"/>
    <w:rsid w:val="00C75402"/>
    <w:rsid w:val="00C754E7"/>
    <w:rsid w:val="00C7596E"/>
    <w:rsid w:val="00C75CA1"/>
    <w:rsid w:val="00C76A61"/>
    <w:rsid w:val="00C76B16"/>
    <w:rsid w:val="00C76F1B"/>
    <w:rsid w:val="00C76FAF"/>
    <w:rsid w:val="00C770AD"/>
    <w:rsid w:val="00C8036F"/>
    <w:rsid w:val="00C8046E"/>
    <w:rsid w:val="00C80757"/>
    <w:rsid w:val="00C810F8"/>
    <w:rsid w:val="00C81BD2"/>
    <w:rsid w:val="00C82900"/>
    <w:rsid w:val="00C8340F"/>
    <w:rsid w:val="00C84018"/>
    <w:rsid w:val="00C842FC"/>
    <w:rsid w:val="00C84378"/>
    <w:rsid w:val="00C846CA"/>
    <w:rsid w:val="00C85404"/>
    <w:rsid w:val="00C86723"/>
    <w:rsid w:val="00C86E07"/>
    <w:rsid w:val="00C86E79"/>
    <w:rsid w:val="00C87423"/>
    <w:rsid w:val="00C87EC3"/>
    <w:rsid w:val="00C90105"/>
    <w:rsid w:val="00C902F5"/>
    <w:rsid w:val="00C90E3E"/>
    <w:rsid w:val="00C91F34"/>
    <w:rsid w:val="00C92D94"/>
    <w:rsid w:val="00C930FF"/>
    <w:rsid w:val="00C931D0"/>
    <w:rsid w:val="00C93ABA"/>
    <w:rsid w:val="00C94711"/>
    <w:rsid w:val="00C947CC"/>
    <w:rsid w:val="00C95666"/>
    <w:rsid w:val="00C95BB4"/>
    <w:rsid w:val="00C95FC6"/>
    <w:rsid w:val="00C960D4"/>
    <w:rsid w:val="00C976FD"/>
    <w:rsid w:val="00CA131C"/>
    <w:rsid w:val="00CA1E1C"/>
    <w:rsid w:val="00CA3362"/>
    <w:rsid w:val="00CA3EE7"/>
    <w:rsid w:val="00CA443C"/>
    <w:rsid w:val="00CA4D03"/>
    <w:rsid w:val="00CA4EF9"/>
    <w:rsid w:val="00CA6109"/>
    <w:rsid w:val="00CA685B"/>
    <w:rsid w:val="00CB07C3"/>
    <w:rsid w:val="00CB108C"/>
    <w:rsid w:val="00CB13A9"/>
    <w:rsid w:val="00CB316F"/>
    <w:rsid w:val="00CB4C32"/>
    <w:rsid w:val="00CB6AD4"/>
    <w:rsid w:val="00CB700B"/>
    <w:rsid w:val="00CC0BC3"/>
    <w:rsid w:val="00CC12E8"/>
    <w:rsid w:val="00CC1377"/>
    <w:rsid w:val="00CC173C"/>
    <w:rsid w:val="00CC2FA9"/>
    <w:rsid w:val="00CC33DB"/>
    <w:rsid w:val="00CC3548"/>
    <w:rsid w:val="00CC3D9D"/>
    <w:rsid w:val="00CC3DA1"/>
    <w:rsid w:val="00CC3F2D"/>
    <w:rsid w:val="00CC4605"/>
    <w:rsid w:val="00CC4CFD"/>
    <w:rsid w:val="00CC69BC"/>
    <w:rsid w:val="00CC6CFA"/>
    <w:rsid w:val="00CC7C42"/>
    <w:rsid w:val="00CD0279"/>
    <w:rsid w:val="00CD09AD"/>
    <w:rsid w:val="00CD216C"/>
    <w:rsid w:val="00CD25AA"/>
    <w:rsid w:val="00CD26FD"/>
    <w:rsid w:val="00CD2E24"/>
    <w:rsid w:val="00CD3522"/>
    <w:rsid w:val="00CD4989"/>
    <w:rsid w:val="00CD5C3C"/>
    <w:rsid w:val="00CD5D50"/>
    <w:rsid w:val="00CD6014"/>
    <w:rsid w:val="00CD6BE9"/>
    <w:rsid w:val="00CD7813"/>
    <w:rsid w:val="00CE0431"/>
    <w:rsid w:val="00CE06DD"/>
    <w:rsid w:val="00CE0A28"/>
    <w:rsid w:val="00CE128D"/>
    <w:rsid w:val="00CE1498"/>
    <w:rsid w:val="00CE1611"/>
    <w:rsid w:val="00CE1788"/>
    <w:rsid w:val="00CE1BD0"/>
    <w:rsid w:val="00CE2E05"/>
    <w:rsid w:val="00CE3D26"/>
    <w:rsid w:val="00CE427A"/>
    <w:rsid w:val="00CE48EB"/>
    <w:rsid w:val="00CE4C5C"/>
    <w:rsid w:val="00CE65DF"/>
    <w:rsid w:val="00CF0734"/>
    <w:rsid w:val="00CF094E"/>
    <w:rsid w:val="00CF1968"/>
    <w:rsid w:val="00CF3639"/>
    <w:rsid w:val="00CF3BEB"/>
    <w:rsid w:val="00CF448C"/>
    <w:rsid w:val="00CF55B7"/>
    <w:rsid w:val="00CF592B"/>
    <w:rsid w:val="00CF64CD"/>
    <w:rsid w:val="00CF6C9A"/>
    <w:rsid w:val="00CF7F93"/>
    <w:rsid w:val="00D00931"/>
    <w:rsid w:val="00D00A03"/>
    <w:rsid w:val="00D0199D"/>
    <w:rsid w:val="00D01F02"/>
    <w:rsid w:val="00D031EB"/>
    <w:rsid w:val="00D0328E"/>
    <w:rsid w:val="00D03330"/>
    <w:rsid w:val="00D03C72"/>
    <w:rsid w:val="00D04A91"/>
    <w:rsid w:val="00D04D7D"/>
    <w:rsid w:val="00D0505A"/>
    <w:rsid w:val="00D05644"/>
    <w:rsid w:val="00D05939"/>
    <w:rsid w:val="00D073A8"/>
    <w:rsid w:val="00D0775E"/>
    <w:rsid w:val="00D0796B"/>
    <w:rsid w:val="00D108C7"/>
    <w:rsid w:val="00D10C6B"/>
    <w:rsid w:val="00D1139F"/>
    <w:rsid w:val="00D11EDD"/>
    <w:rsid w:val="00D125FA"/>
    <w:rsid w:val="00D1414B"/>
    <w:rsid w:val="00D1468E"/>
    <w:rsid w:val="00D150C4"/>
    <w:rsid w:val="00D162B4"/>
    <w:rsid w:val="00D166C9"/>
    <w:rsid w:val="00D16C8E"/>
    <w:rsid w:val="00D20FEF"/>
    <w:rsid w:val="00D2100B"/>
    <w:rsid w:val="00D21D6D"/>
    <w:rsid w:val="00D2224F"/>
    <w:rsid w:val="00D227F0"/>
    <w:rsid w:val="00D22B10"/>
    <w:rsid w:val="00D22B96"/>
    <w:rsid w:val="00D22E07"/>
    <w:rsid w:val="00D236D9"/>
    <w:rsid w:val="00D2496F"/>
    <w:rsid w:val="00D24972"/>
    <w:rsid w:val="00D24A83"/>
    <w:rsid w:val="00D25538"/>
    <w:rsid w:val="00D25558"/>
    <w:rsid w:val="00D25F84"/>
    <w:rsid w:val="00D2617F"/>
    <w:rsid w:val="00D2669B"/>
    <w:rsid w:val="00D26D16"/>
    <w:rsid w:val="00D273C1"/>
    <w:rsid w:val="00D30219"/>
    <w:rsid w:val="00D31984"/>
    <w:rsid w:val="00D32611"/>
    <w:rsid w:val="00D3329D"/>
    <w:rsid w:val="00D342D5"/>
    <w:rsid w:val="00D3497F"/>
    <w:rsid w:val="00D34EBE"/>
    <w:rsid w:val="00D36C82"/>
    <w:rsid w:val="00D37894"/>
    <w:rsid w:val="00D37B81"/>
    <w:rsid w:val="00D407AD"/>
    <w:rsid w:val="00D41C1A"/>
    <w:rsid w:val="00D41D42"/>
    <w:rsid w:val="00D43470"/>
    <w:rsid w:val="00D437C4"/>
    <w:rsid w:val="00D457AF"/>
    <w:rsid w:val="00D465B9"/>
    <w:rsid w:val="00D50453"/>
    <w:rsid w:val="00D509E9"/>
    <w:rsid w:val="00D50AD1"/>
    <w:rsid w:val="00D519FB"/>
    <w:rsid w:val="00D522DD"/>
    <w:rsid w:val="00D52374"/>
    <w:rsid w:val="00D52F2D"/>
    <w:rsid w:val="00D52FC7"/>
    <w:rsid w:val="00D5419E"/>
    <w:rsid w:val="00D5441E"/>
    <w:rsid w:val="00D546C8"/>
    <w:rsid w:val="00D54C8C"/>
    <w:rsid w:val="00D55494"/>
    <w:rsid w:val="00D56114"/>
    <w:rsid w:val="00D564B6"/>
    <w:rsid w:val="00D570CA"/>
    <w:rsid w:val="00D601DE"/>
    <w:rsid w:val="00D60B7A"/>
    <w:rsid w:val="00D60C3F"/>
    <w:rsid w:val="00D60F24"/>
    <w:rsid w:val="00D6161F"/>
    <w:rsid w:val="00D62339"/>
    <w:rsid w:val="00D625DF"/>
    <w:rsid w:val="00D62757"/>
    <w:rsid w:val="00D6281F"/>
    <w:rsid w:val="00D6369C"/>
    <w:rsid w:val="00D65D31"/>
    <w:rsid w:val="00D673BE"/>
    <w:rsid w:val="00D674D5"/>
    <w:rsid w:val="00D674FB"/>
    <w:rsid w:val="00D675ED"/>
    <w:rsid w:val="00D67733"/>
    <w:rsid w:val="00D67BF2"/>
    <w:rsid w:val="00D7039B"/>
    <w:rsid w:val="00D70AE2"/>
    <w:rsid w:val="00D72B22"/>
    <w:rsid w:val="00D72B3E"/>
    <w:rsid w:val="00D73450"/>
    <w:rsid w:val="00D7348E"/>
    <w:rsid w:val="00D74CA1"/>
    <w:rsid w:val="00D76622"/>
    <w:rsid w:val="00D820CF"/>
    <w:rsid w:val="00D8221C"/>
    <w:rsid w:val="00D831FA"/>
    <w:rsid w:val="00D837AA"/>
    <w:rsid w:val="00D8408D"/>
    <w:rsid w:val="00D84B6D"/>
    <w:rsid w:val="00D84FF5"/>
    <w:rsid w:val="00D86F3F"/>
    <w:rsid w:val="00D87C62"/>
    <w:rsid w:val="00D91356"/>
    <w:rsid w:val="00D917DD"/>
    <w:rsid w:val="00D91CE4"/>
    <w:rsid w:val="00D91F40"/>
    <w:rsid w:val="00D92184"/>
    <w:rsid w:val="00D92CAC"/>
    <w:rsid w:val="00D930A9"/>
    <w:rsid w:val="00D938B2"/>
    <w:rsid w:val="00D946C7"/>
    <w:rsid w:val="00D951FA"/>
    <w:rsid w:val="00D9716C"/>
    <w:rsid w:val="00D979C2"/>
    <w:rsid w:val="00DA03DB"/>
    <w:rsid w:val="00DA1424"/>
    <w:rsid w:val="00DA1A4D"/>
    <w:rsid w:val="00DA1C79"/>
    <w:rsid w:val="00DA1E43"/>
    <w:rsid w:val="00DA2F13"/>
    <w:rsid w:val="00DA368B"/>
    <w:rsid w:val="00DA3B83"/>
    <w:rsid w:val="00DA3C42"/>
    <w:rsid w:val="00DA400C"/>
    <w:rsid w:val="00DA4689"/>
    <w:rsid w:val="00DA69CE"/>
    <w:rsid w:val="00DB042D"/>
    <w:rsid w:val="00DB055E"/>
    <w:rsid w:val="00DB1DB6"/>
    <w:rsid w:val="00DB24C2"/>
    <w:rsid w:val="00DB6321"/>
    <w:rsid w:val="00DB6761"/>
    <w:rsid w:val="00DB762F"/>
    <w:rsid w:val="00DC057C"/>
    <w:rsid w:val="00DC092B"/>
    <w:rsid w:val="00DC17C1"/>
    <w:rsid w:val="00DC2031"/>
    <w:rsid w:val="00DC21D4"/>
    <w:rsid w:val="00DC25A7"/>
    <w:rsid w:val="00DC3253"/>
    <w:rsid w:val="00DC35F1"/>
    <w:rsid w:val="00DC3A29"/>
    <w:rsid w:val="00DC40E4"/>
    <w:rsid w:val="00DC4664"/>
    <w:rsid w:val="00DC4B99"/>
    <w:rsid w:val="00DC4BFC"/>
    <w:rsid w:val="00DC4CDC"/>
    <w:rsid w:val="00DC509D"/>
    <w:rsid w:val="00DC518C"/>
    <w:rsid w:val="00DC566C"/>
    <w:rsid w:val="00DC7317"/>
    <w:rsid w:val="00DC739E"/>
    <w:rsid w:val="00DD0E09"/>
    <w:rsid w:val="00DD1776"/>
    <w:rsid w:val="00DD2E40"/>
    <w:rsid w:val="00DD358F"/>
    <w:rsid w:val="00DD48FA"/>
    <w:rsid w:val="00DD4B12"/>
    <w:rsid w:val="00DD51E4"/>
    <w:rsid w:val="00DD5C41"/>
    <w:rsid w:val="00DD6568"/>
    <w:rsid w:val="00DD6631"/>
    <w:rsid w:val="00DD68DA"/>
    <w:rsid w:val="00DD6B7C"/>
    <w:rsid w:val="00DE15CE"/>
    <w:rsid w:val="00DE1962"/>
    <w:rsid w:val="00DE19D9"/>
    <w:rsid w:val="00DE2566"/>
    <w:rsid w:val="00DE2D90"/>
    <w:rsid w:val="00DE3528"/>
    <w:rsid w:val="00DE39AB"/>
    <w:rsid w:val="00DE4BA2"/>
    <w:rsid w:val="00DE6BC0"/>
    <w:rsid w:val="00DE707A"/>
    <w:rsid w:val="00DE715C"/>
    <w:rsid w:val="00DF156A"/>
    <w:rsid w:val="00DF17E7"/>
    <w:rsid w:val="00DF1B8E"/>
    <w:rsid w:val="00DF2388"/>
    <w:rsid w:val="00DF2839"/>
    <w:rsid w:val="00DF2D0F"/>
    <w:rsid w:val="00DF3071"/>
    <w:rsid w:val="00DF353A"/>
    <w:rsid w:val="00DF38FE"/>
    <w:rsid w:val="00DF406C"/>
    <w:rsid w:val="00DF4118"/>
    <w:rsid w:val="00DF5CCD"/>
    <w:rsid w:val="00DF60A4"/>
    <w:rsid w:val="00DF6C57"/>
    <w:rsid w:val="00DF6F12"/>
    <w:rsid w:val="00DF71DC"/>
    <w:rsid w:val="00DF74D0"/>
    <w:rsid w:val="00E00444"/>
    <w:rsid w:val="00E02DA9"/>
    <w:rsid w:val="00E03DE8"/>
    <w:rsid w:val="00E03E12"/>
    <w:rsid w:val="00E03F95"/>
    <w:rsid w:val="00E04764"/>
    <w:rsid w:val="00E05056"/>
    <w:rsid w:val="00E052EC"/>
    <w:rsid w:val="00E05DA8"/>
    <w:rsid w:val="00E05DFE"/>
    <w:rsid w:val="00E061F9"/>
    <w:rsid w:val="00E06B8C"/>
    <w:rsid w:val="00E07252"/>
    <w:rsid w:val="00E0733A"/>
    <w:rsid w:val="00E079A9"/>
    <w:rsid w:val="00E07CE5"/>
    <w:rsid w:val="00E10156"/>
    <w:rsid w:val="00E10307"/>
    <w:rsid w:val="00E106D6"/>
    <w:rsid w:val="00E10781"/>
    <w:rsid w:val="00E10CC2"/>
    <w:rsid w:val="00E10FB4"/>
    <w:rsid w:val="00E12292"/>
    <w:rsid w:val="00E12633"/>
    <w:rsid w:val="00E12AB0"/>
    <w:rsid w:val="00E12B01"/>
    <w:rsid w:val="00E13A3F"/>
    <w:rsid w:val="00E1430D"/>
    <w:rsid w:val="00E15D70"/>
    <w:rsid w:val="00E171E0"/>
    <w:rsid w:val="00E17547"/>
    <w:rsid w:val="00E1762C"/>
    <w:rsid w:val="00E208A9"/>
    <w:rsid w:val="00E208EC"/>
    <w:rsid w:val="00E20A66"/>
    <w:rsid w:val="00E20B0F"/>
    <w:rsid w:val="00E20D12"/>
    <w:rsid w:val="00E2281C"/>
    <w:rsid w:val="00E22D17"/>
    <w:rsid w:val="00E23A26"/>
    <w:rsid w:val="00E24211"/>
    <w:rsid w:val="00E266A1"/>
    <w:rsid w:val="00E2670F"/>
    <w:rsid w:val="00E26DC2"/>
    <w:rsid w:val="00E3023E"/>
    <w:rsid w:val="00E309FA"/>
    <w:rsid w:val="00E313D7"/>
    <w:rsid w:val="00E318D8"/>
    <w:rsid w:val="00E32290"/>
    <w:rsid w:val="00E32613"/>
    <w:rsid w:val="00E330B7"/>
    <w:rsid w:val="00E35492"/>
    <w:rsid w:val="00E356E1"/>
    <w:rsid w:val="00E35EFD"/>
    <w:rsid w:val="00E363FC"/>
    <w:rsid w:val="00E365B2"/>
    <w:rsid w:val="00E365FE"/>
    <w:rsid w:val="00E3669D"/>
    <w:rsid w:val="00E372D6"/>
    <w:rsid w:val="00E37992"/>
    <w:rsid w:val="00E37A1A"/>
    <w:rsid w:val="00E37CEE"/>
    <w:rsid w:val="00E41500"/>
    <w:rsid w:val="00E4168C"/>
    <w:rsid w:val="00E43B1E"/>
    <w:rsid w:val="00E446F8"/>
    <w:rsid w:val="00E447BB"/>
    <w:rsid w:val="00E44F1B"/>
    <w:rsid w:val="00E44F42"/>
    <w:rsid w:val="00E456E5"/>
    <w:rsid w:val="00E45700"/>
    <w:rsid w:val="00E465E7"/>
    <w:rsid w:val="00E46735"/>
    <w:rsid w:val="00E47017"/>
    <w:rsid w:val="00E474FB"/>
    <w:rsid w:val="00E47521"/>
    <w:rsid w:val="00E5015F"/>
    <w:rsid w:val="00E50570"/>
    <w:rsid w:val="00E50B5C"/>
    <w:rsid w:val="00E50F80"/>
    <w:rsid w:val="00E51B80"/>
    <w:rsid w:val="00E51BF0"/>
    <w:rsid w:val="00E523FC"/>
    <w:rsid w:val="00E530BC"/>
    <w:rsid w:val="00E53132"/>
    <w:rsid w:val="00E53857"/>
    <w:rsid w:val="00E53910"/>
    <w:rsid w:val="00E5539D"/>
    <w:rsid w:val="00E567D0"/>
    <w:rsid w:val="00E56DC1"/>
    <w:rsid w:val="00E5743D"/>
    <w:rsid w:val="00E576C7"/>
    <w:rsid w:val="00E57F97"/>
    <w:rsid w:val="00E57FAE"/>
    <w:rsid w:val="00E60114"/>
    <w:rsid w:val="00E62412"/>
    <w:rsid w:val="00E62999"/>
    <w:rsid w:val="00E62AAC"/>
    <w:rsid w:val="00E62C76"/>
    <w:rsid w:val="00E62DAD"/>
    <w:rsid w:val="00E63B46"/>
    <w:rsid w:val="00E64033"/>
    <w:rsid w:val="00E6557E"/>
    <w:rsid w:val="00E659AE"/>
    <w:rsid w:val="00E66469"/>
    <w:rsid w:val="00E664A6"/>
    <w:rsid w:val="00E66560"/>
    <w:rsid w:val="00E6687A"/>
    <w:rsid w:val="00E67F0C"/>
    <w:rsid w:val="00E71B57"/>
    <w:rsid w:val="00E72556"/>
    <w:rsid w:val="00E74313"/>
    <w:rsid w:val="00E74D55"/>
    <w:rsid w:val="00E752FD"/>
    <w:rsid w:val="00E7574C"/>
    <w:rsid w:val="00E759AF"/>
    <w:rsid w:val="00E75D26"/>
    <w:rsid w:val="00E761AF"/>
    <w:rsid w:val="00E775EA"/>
    <w:rsid w:val="00E8000C"/>
    <w:rsid w:val="00E80265"/>
    <w:rsid w:val="00E80377"/>
    <w:rsid w:val="00E80495"/>
    <w:rsid w:val="00E81553"/>
    <w:rsid w:val="00E81E1A"/>
    <w:rsid w:val="00E820BA"/>
    <w:rsid w:val="00E82795"/>
    <w:rsid w:val="00E83787"/>
    <w:rsid w:val="00E839A6"/>
    <w:rsid w:val="00E83C16"/>
    <w:rsid w:val="00E84697"/>
    <w:rsid w:val="00E8493C"/>
    <w:rsid w:val="00E84A65"/>
    <w:rsid w:val="00E8536F"/>
    <w:rsid w:val="00E85D49"/>
    <w:rsid w:val="00E85D57"/>
    <w:rsid w:val="00E86A80"/>
    <w:rsid w:val="00E92C5E"/>
    <w:rsid w:val="00E9306E"/>
    <w:rsid w:val="00E93111"/>
    <w:rsid w:val="00E9427F"/>
    <w:rsid w:val="00E96711"/>
    <w:rsid w:val="00E96C1E"/>
    <w:rsid w:val="00E97138"/>
    <w:rsid w:val="00E974BE"/>
    <w:rsid w:val="00EA0550"/>
    <w:rsid w:val="00EA1466"/>
    <w:rsid w:val="00EA1EFB"/>
    <w:rsid w:val="00EA1F88"/>
    <w:rsid w:val="00EA2525"/>
    <w:rsid w:val="00EA2E8D"/>
    <w:rsid w:val="00EA358A"/>
    <w:rsid w:val="00EA5379"/>
    <w:rsid w:val="00EA6CC5"/>
    <w:rsid w:val="00EA6EF0"/>
    <w:rsid w:val="00EA7749"/>
    <w:rsid w:val="00EA7BDE"/>
    <w:rsid w:val="00EB3BD3"/>
    <w:rsid w:val="00EB5CCE"/>
    <w:rsid w:val="00EB5D36"/>
    <w:rsid w:val="00EB5F3A"/>
    <w:rsid w:val="00EB601D"/>
    <w:rsid w:val="00EB7894"/>
    <w:rsid w:val="00EC06BA"/>
    <w:rsid w:val="00EC1723"/>
    <w:rsid w:val="00EC1D15"/>
    <w:rsid w:val="00EC233A"/>
    <w:rsid w:val="00EC2C10"/>
    <w:rsid w:val="00EC2C6D"/>
    <w:rsid w:val="00EC45E5"/>
    <w:rsid w:val="00EC5484"/>
    <w:rsid w:val="00EC57A7"/>
    <w:rsid w:val="00EC5B23"/>
    <w:rsid w:val="00EC62A7"/>
    <w:rsid w:val="00EC690F"/>
    <w:rsid w:val="00EC6EAA"/>
    <w:rsid w:val="00EC7065"/>
    <w:rsid w:val="00EC7116"/>
    <w:rsid w:val="00EC75FB"/>
    <w:rsid w:val="00ED0029"/>
    <w:rsid w:val="00ED196F"/>
    <w:rsid w:val="00ED2140"/>
    <w:rsid w:val="00ED3087"/>
    <w:rsid w:val="00ED3AC0"/>
    <w:rsid w:val="00ED3FDD"/>
    <w:rsid w:val="00ED5031"/>
    <w:rsid w:val="00ED5799"/>
    <w:rsid w:val="00ED740F"/>
    <w:rsid w:val="00EE0010"/>
    <w:rsid w:val="00EE0147"/>
    <w:rsid w:val="00EE1ED8"/>
    <w:rsid w:val="00EE2142"/>
    <w:rsid w:val="00EE2624"/>
    <w:rsid w:val="00EE3327"/>
    <w:rsid w:val="00EE449A"/>
    <w:rsid w:val="00EE4668"/>
    <w:rsid w:val="00EE5361"/>
    <w:rsid w:val="00EE5516"/>
    <w:rsid w:val="00EE5D87"/>
    <w:rsid w:val="00EE6876"/>
    <w:rsid w:val="00EF119D"/>
    <w:rsid w:val="00EF18E5"/>
    <w:rsid w:val="00EF2C0E"/>
    <w:rsid w:val="00EF36F3"/>
    <w:rsid w:val="00EF3A14"/>
    <w:rsid w:val="00EF3F31"/>
    <w:rsid w:val="00EF44C6"/>
    <w:rsid w:val="00EF520A"/>
    <w:rsid w:val="00EF567F"/>
    <w:rsid w:val="00EF63F4"/>
    <w:rsid w:val="00EF6479"/>
    <w:rsid w:val="00EF6C98"/>
    <w:rsid w:val="00EF73A2"/>
    <w:rsid w:val="00EF775C"/>
    <w:rsid w:val="00EF7F61"/>
    <w:rsid w:val="00F0046F"/>
    <w:rsid w:val="00F01867"/>
    <w:rsid w:val="00F0269D"/>
    <w:rsid w:val="00F02D8C"/>
    <w:rsid w:val="00F03137"/>
    <w:rsid w:val="00F03531"/>
    <w:rsid w:val="00F03586"/>
    <w:rsid w:val="00F03A2A"/>
    <w:rsid w:val="00F03D0B"/>
    <w:rsid w:val="00F045DB"/>
    <w:rsid w:val="00F051BB"/>
    <w:rsid w:val="00F0529B"/>
    <w:rsid w:val="00F0588D"/>
    <w:rsid w:val="00F068E6"/>
    <w:rsid w:val="00F06EC8"/>
    <w:rsid w:val="00F07216"/>
    <w:rsid w:val="00F106FD"/>
    <w:rsid w:val="00F10C0A"/>
    <w:rsid w:val="00F10EB1"/>
    <w:rsid w:val="00F118FD"/>
    <w:rsid w:val="00F14088"/>
    <w:rsid w:val="00F145ED"/>
    <w:rsid w:val="00F146FA"/>
    <w:rsid w:val="00F14D88"/>
    <w:rsid w:val="00F14FEC"/>
    <w:rsid w:val="00F15A2D"/>
    <w:rsid w:val="00F15EF7"/>
    <w:rsid w:val="00F16AE0"/>
    <w:rsid w:val="00F16FF7"/>
    <w:rsid w:val="00F17058"/>
    <w:rsid w:val="00F1736A"/>
    <w:rsid w:val="00F20509"/>
    <w:rsid w:val="00F20B75"/>
    <w:rsid w:val="00F21193"/>
    <w:rsid w:val="00F21709"/>
    <w:rsid w:val="00F21EE8"/>
    <w:rsid w:val="00F21F9F"/>
    <w:rsid w:val="00F22032"/>
    <w:rsid w:val="00F22D57"/>
    <w:rsid w:val="00F2306D"/>
    <w:rsid w:val="00F23E19"/>
    <w:rsid w:val="00F24B20"/>
    <w:rsid w:val="00F2516A"/>
    <w:rsid w:val="00F253BB"/>
    <w:rsid w:val="00F2574A"/>
    <w:rsid w:val="00F26584"/>
    <w:rsid w:val="00F26E9E"/>
    <w:rsid w:val="00F307ED"/>
    <w:rsid w:val="00F32C7F"/>
    <w:rsid w:val="00F336AE"/>
    <w:rsid w:val="00F338B9"/>
    <w:rsid w:val="00F33F6D"/>
    <w:rsid w:val="00F3421C"/>
    <w:rsid w:val="00F345B4"/>
    <w:rsid w:val="00F34930"/>
    <w:rsid w:val="00F3539E"/>
    <w:rsid w:val="00F35E5B"/>
    <w:rsid w:val="00F36AF6"/>
    <w:rsid w:val="00F3786B"/>
    <w:rsid w:val="00F400AE"/>
    <w:rsid w:val="00F40B0C"/>
    <w:rsid w:val="00F4199F"/>
    <w:rsid w:val="00F43024"/>
    <w:rsid w:val="00F431A4"/>
    <w:rsid w:val="00F432F3"/>
    <w:rsid w:val="00F438F5"/>
    <w:rsid w:val="00F46A8F"/>
    <w:rsid w:val="00F5081D"/>
    <w:rsid w:val="00F513D1"/>
    <w:rsid w:val="00F534F0"/>
    <w:rsid w:val="00F543F2"/>
    <w:rsid w:val="00F5557F"/>
    <w:rsid w:val="00F55590"/>
    <w:rsid w:val="00F558E4"/>
    <w:rsid w:val="00F5594D"/>
    <w:rsid w:val="00F56659"/>
    <w:rsid w:val="00F568C0"/>
    <w:rsid w:val="00F570C5"/>
    <w:rsid w:val="00F5788C"/>
    <w:rsid w:val="00F57971"/>
    <w:rsid w:val="00F60389"/>
    <w:rsid w:val="00F607DA"/>
    <w:rsid w:val="00F60F13"/>
    <w:rsid w:val="00F611B1"/>
    <w:rsid w:val="00F612C7"/>
    <w:rsid w:val="00F6194C"/>
    <w:rsid w:val="00F619BA"/>
    <w:rsid w:val="00F62411"/>
    <w:rsid w:val="00F62AE0"/>
    <w:rsid w:val="00F62D2F"/>
    <w:rsid w:val="00F63DB4"/>
    <w:rsid w:val="00F64CF8"/>
    <w:rsid w:val="00F65B72"/>
    <w:rsid w:val="00F66C72"/>
    <w:rsid w:val="00F66F09"/>
    <w:rsid w:val="00F70179"/>
    <w:rsid w:val="00F72790"/>
    <w:rsid w:val="00F72BBD"/>
    <w:rsid w:val="00F73A80"/>
    <w:rsid w:val="00F73B16"/>
    <w:rsid w:val="00F73E91"/>
    <w:rsid w:val="00F747F9"/>
    <w:rsid w:val="00F7564F"/>
    <w:rsid w:val="00F7651A"/>
    <w:rsid w:val="00F76F93"/>
    <w:rsid w:val="00F802C0"/>
    <w:rsid w:val="00F80AF8"/>
    <w:rsid w:val="00F81489"/>
    <w:rsid w:val="00F817DB"/>
    <w:rsid w:val="00F81BA0"/>
    <w:rsid w:val="00F8218D"/>
    <w:rsid w:val="00F82821"/>
    <w:rsid w:val="00F839F9"/>
    <w:rsid w:val="00F83C1C"/>
    <w:rsid w:val="00F83D57"/>
    <w:rsid w:val="00F84253"/>
    <w:rsid w:val="00F84BCF"/>
    <w:rsid w:val="00F85354"/>
    <w:rsid w:val="00F85447"/>
    <w:rsid w:val="00F85457"/>
    <w:rsid w:val="00F85884"/>
    <w:rsid w:val="00F858BE"/>
    <w:rsid w:val="00F85BA2"/>
    <w:rsid w:val="00F86271"/>
    <w:rsid w:val="00F86960"/>
    <w:rsid w:val="00F87388"/>
    <w:rsid w:val="00F874F9"/>
    <w:rsid w:val="00F87912"/>
    <w:rsid w:val="00F92D6D"/>
    <w:rsid w:val="00F92EF9"/>
    <w:rsid w:val="00F93132"/>
    <w:rsid w:val="00F9346F"/>
    <w:rsid w:val="00F93576"/>
    <w:rsid w:val="00F93B3B"/>
    <w:rsid w:val="00F94BBC"/>
    <w:rsid w:val="00F94D19"/>
    <w:rsid w:val="00F94F09"/>
    <w:rsid w:val="00F95CC0"/>
    <w:rsid w:val="00F95D4D"/>
    <w:rsid w:val="00F96954"/>
    <w:rsid w:val="00F972A3"/>
    <w:rsid w:val="00F9780F"/>
    <w:rsid w:val="00F97BA8"/>
    <w:rsid w:val="00F97C05"/>
    <w:rsid w:val="00FA05DA"/>
    <w:rsid w:val="00FA0CA4"/>
    <w:rsid w:val="00FA133A"/>
    <w:rsid w:val="00FA1392"/>
    <w:rsid w:val="00FA1492"/>
    <w:rsid w:val="00FA160B"/>
    <w:rsid w:val="00FA1F45"/>
    <w:rsid w:val="00FA2BA3"/>
    <w:rsid w:val="00FA31C3"/>
    <w:rsid w:val="00FA5199"/>
    <w:rsid w:val="00FA52DD"/>
    <w:rsid w:val="00FA6044"/>
    <w:rsid w:val="00FA65C1"/>
    <w:rsid w:val="00FA7614"/>
    <w:rsid w:val="00FB17E3"/>
    <w:rsid w:val="00FB1EE7"/>
    <w:rsid w:val="00FB249F"/>
    <w:rsid w:val="00FB2FAC"/>
    <w:rsid w:val="00FB32E9"/>
    <w:rsid w:val="00FB3551"/>
    <w:rsid w:val="00FB52F6"/>
    <w:rsid w:val="00FB6908"/>
    <w:rsid w:val="00FB6AA0"/>
    <w:rsid w:val="00FC0035"/>
    <w:rsid w:val="00FC0A34"/>
    <w:rsid w:val="00FC0F5B"/>
    <w:rsid w:val="00FC4EA2"/>
    <w:rsid w:val="00FC4F5A"/>
    <w:rsid w:val="00FC50CC"/>
    <w:rsid w:val="00FC5347"/>
    <w:rsid w:val="00FC57BA"/>
    <w:rsid w:val="00FC628B"/>
    <w:rsid w:val="00FC665F"/>
    <w:rsid w:val="00FC6EF4"/>
    <w:rsid w:val="00FD02D3"/>
    <w:rsid w:val="00FD0E58"/>
    <w:rsid w:val="00FD3139"/>
    <w:rsid w:val="00FD3E11"/>
    <w:rsid w:val="00FD4DAD"/>
    <w:rsid w:val="00FD5DA3"/>
    <w:rsid w:val="00FD5EB1"/>
    <w:rsid w:val="00FD736D"/>
    <w:rsid w:val="00FD7F49"/>
    <w:rsid w:val="00FE08D5"/>
    <w:rsid w:val="00FE1079"/>
    <w:rsid w:val="00FE18A1"/>
    <w:rsid w:val="00FE31B0"/>
    <w:rsid w:val="00FE3CB7"/>
    <w:rsid w:val="00FE4AAB"/>
    <w:rsid w:val="00FE57DF"/>
    <w:rsid w:val="00FE686B"/>
    <w:rsid w:val="00FE6F7B"/>
    <w:rsid w:val="00FF066E"/>
    <w:rsid w:val="00FF1095"/>
    <w:rsid w:val="00FF15ED"/>
    <w:rsid w:val="00FF16DB"/>
    <w:rsid w:val="00FF23D9"/>
    <w:rsid w:val="00FF3233"/>
    <w:rsid w:val="00FF32C5"/>
    <w:rsid w:val="00FF3670"/>
    <w:rsid w:val="00FF3B63"/>
    <w:rsid w:val="00FF3B90"/>
    <w:rsid w:val="00FF43EB"/>
    <w:rsid w:val="00FF4A84"/>
    <w:rsid w:val="00FF64B7"/>
    <w:rsid w:val="00FF6B6F"/>
    <w:rsid w:val="00FF7196"/>
    <w:rsid w:val="0127F2B8"/>
    <w:rsid w:val="015F4E1E"/>
    <w:rsid w:val="017274DC"/>
    <w:rsid w:val="0181EB55"/>
    <w:rsid w:val="01A9045E"/>
    <w:rsid w:val="01C43AF1"/>
    <w:rsid w:val="01C8B7BB"/>
    <w:rsid w:val="01D5889E"/>
    <w:rsid w:val="01F11DF1"/>
    <w:rsid w:val="01FC4CF1"/>
    <w:rsid w:val="01FD1E1E"/>
    <w:rsid w:val="01FF44BD"/>
    <w:rsid w:val="0208923C"/>
    <w:rsid w:val="0222C2EC"/>
    <w:rsid w:val="0224FE0E"/>
    <w:rsid w:val="025DBCFF"/>
    <w:rsid w:val="02696020"/>
    <w:rsid w:val="0277F202"/>
    <w:rsid w:val="02885F90"/>
    <w:rsid w:val="028A35DC"/>
    <w:rsid w:val="029A95CA"/>
    <w:rsid w:val="02B7AFD0"/>
    <w:rsid w:val="02C1A7E0"/>
    <w:rsid w:val="02E5075A"/>
    <w:rsid w:val="030A341D"/>
    <w:rsid w:val="0317FCDB"/>
    <w:rsid w:val="03243CFB"/>
    <w:rsid w:val="033345E9"/>
    <w:rsid w:val="037FED30"/>
    <w:rsid w:val="03A43C56"/>
    <w:rsid w:val="03B3CCAF"/>
    <w:rsid w:val="03DCAF16"/>
    <w:rsid w:val="03E960E3"/>
    <w:rsid w:val="044AC894"/>
    <w:rsid w:val="04512AFD"/>
    <w:rsid w:val="04596B9D"/>
    <w:rsid w:val="046C6758"/>
    <w:rsid w:val="048FFE87"/>
    <w:rsid w:val="0490ABD8"/>
    <w:rsid w:val="04A3B414"/>
    <w:rsid w:val="04B2F630"/>
    <w:rsid w:val="04C31368"/>
    <w:rsid w:val="04D57685"/>
    <w:rsid w:val="04ED7989"/>
    <w:rsid w:val="04FBF482"/>
    <w:rsid w:val="0562AB2A"/>
    <w:rsid w:val="0567D009"/>
    <w:rsid w:val="0569D777"/>
    <w:rsid w:val="058747A3"/>
    <w:rsid w:val="0622E34B"/>
    <w:rsid w:val="062F5FC3"/>
    <w:rsid w:val="06335507"/>
    <w:rsid w:val="064AFE36"/>
    <w:rsid w:val="064C6C0C"/>
    <w:rsid w:val="064E6789"/>
    <w:rsid w:val="06658598"/>
    <w:rsid w:val="0685FFCF"/>
    <w:rsid w:val="06B13211"/>
    <w:rsid w:val="06B73FE0"/>
    <w:rsid w:val="06C608C9"/>
    <w:rsid w:val="06C6D7FB"/>
    <w:rsid w:val="06CE703C"/>
    <w:rsid w:val="06E646D7"/>
    <w:rsid w:val="0701BA98"/>
    <w:rsid w:val="07124C35"/>
    <w:rsid w:val="07433391"/>
    <w:rsid w:val="07630DCE"/>
    <w:rsid w:val="07853A3D"/>
    <w:rsid w:val="0785CA4C"/>
    <w:rsid w:val="07AE7A2F"/>
    <w:rsid w:val="08039E5E"/>
    <w:rsid w:val="081C8DC2"/>
    <w:rsid w:val="0840E74A"/>
    <w:rsid w:val="08434342"/>
    <w:rsid w:val="085FC4D5"/>
    <w:rsid w:val="08AAE269"/>
    <w:rsid w:val="08BA4616"/>
    <w:rsid w:val="08C34C25"/>
    <w:rsid w:val="08E21552"/>
    <w:rsid w:val="08F38E45"/>
    <w:rsid w:val="0907C99A"/>
    <w:rsid w:val="0937F38F"/>
    <w:rsid w:val="097ADF20"/>
    <w:rsid w:val="09812F8A"/>
    <w:rsid w:val="099CD231"/>
    <w:rsid w:val="099EBF7F"/>
    <w:rsid w:val="09E5CBDF"/>
    <w:rsid w:val="09F53382"/>
    <w:rsid w:val="0A01781D"/>
    <w:rsid w:val="0A030433"/>
    <w:rsid w:val="0A15B2B6"/>
    <w:rsid w:val="0A5910D3"/>
    <w:rsid w:val="0A7E7050"/>
    <w:rsid w:val="0B0076DC"/>
    <w:rsid w:val="0B5DA066"/>
    <w:rsid w:val="0B99403F"/>
    <w:rsid w:val="0BC05DB7"/>
    <w:rsid w:val="0BC607CD"/>
    <w:rsid w:val="0BC724B9"/>
    <w:rsid w:val="0BD4122C"/>
    <w:rsid w:val="0BDD0108"/>
    <w:rsid w:val="0BE5E1FD"/>
    <w:rsid w:val="0C081405"/>
    <w:rsid w:val="0C7EB422"/>
    <w:rsid w:val="0CB5C3B4"/>
    <w:rsid w:val="0CD24C7E"/>
    <w:rsid w:val="0CEFB480"/>
    <w:rsid w:val="0D1459F2"/>
    <w:rsid w:val="0D43DE61"/>
    <w:rsid w:val="0D654ADF"/>
    <w:rsid w:val="0D7FAEDC"/>
    <w:rsid w:val="0DED2ED2"/>
    <w:rsid w:val="0E049AF9"/>
    <w:rsid w:val="0E1A17A5"/>
    <w:rsid w:val="0E1DE8FD"/>
    <w:rsid w:val="0E3EC706"/>
    <w:rsid w:val="0E8C7327"/>
    <w:rsid w:val="0EC3DC96"/>
    <w:rsid w:val="0F48964F"/>
    <w:rsid w:val="0F518D59"/>
    <w:rsid w:val="0F5EF7D2"/>
    <w:rsid w:val="0F86EE40"/>
    <w:rsid w:val="0FAEE48D"/>
    <w:rsid w:val="0FDCAFFB"/>
    <w:rsid w:val="1034664C"/>
    <w:rsid w:val="105AADE0"/>
    <w:rsid w:val="1065C6DB"/>
    <w:rsid w:val="10D89EF0"/>
    <w:rsid w:val="10E8DF93"/>
    <w:rsid w:val="110C2D23"/>
    <w:rsid w:val="1136567D"/>
    <w:rsid w:val="1153466A"/>
    <w:rsid w:val="116A2C44"/>
    <w:rsid w:val="116E7C76"/>
    <w:rsid w:val="11A088BF"/>
    <w:rsid w:val="11DF499E"/>
    <w:rsid w:val="11ECBF0E"/>
    <w:rsid w:val="11EDFFF9"/>
    <w:rsid w:val="11F39CEA"/>
    <w:rsid w:val="1256CDE7"/>
    <w:rsid w:val="12592C66"/>
    <w:rsid w:val="126D67B5"/>
    <w:rsid w:val="12830EF5"/>
    <w:rsid w:val="12A29FB9"/>
    <w:rsid w:val="12B25253"/>
    <w:rsid w:val="12B8C6C2"/>
    <w:rsid w:val="12C2CC2A"/>
    <w:rsid w:val="12CA74C6"/>
    <w:rsid w:val="12E268AC"/>
    <w:rsid w:val="1305938E"/>
    <w:rsid w:val="1311E006"/>
    <w:rsid w:val="1321A0EC"/>
    <w:rsid w:val="13540F7C"/>
    <w:rsid w:val="1356BF13"/>
    <w:rsid w:val="136E7241"/>
    <w:rsid w:val="13705B7F"/>
    <w:rsid w:val="13B07D14"/>
    <w:rsid w:val="13FDFB54"/>
    <w:rsid w:val="14038305"/>
    <w:rsid w:val="143426BB"/>
    <w:rsid w:val="1454C950"/>
    <w:rsid w:val="148580C3"/>
    <w:rsid w:val="148FFC93"/>
    <w:rsid w:val="14A0028E"/>
    <w:rsid w:val="14C1B87B"/>
    <w:rsid w:val="14F9F86D"/>
    <w:rsid w:val="151673C8"/>
    <w:rsid w:val="151818BF"/>
    <w:rsid w:val="1538CCAA"/>
    <w:rsid w:val="15678AC0"/>
    <w:rsid w:val="159B3594"/>
    <w:rsid w:val="1610CFCD"/>
    <w:rsid w:val="16210718"/>
    <w:rsid w:val="1623C5CC"/>
    <w:rsid w:val="163031D2"/>
    <w:rsid w:val="16521628"/>
    <w:rsid w:val="1685CE73"/>
    <w:rsid w:val="1694EF07"/>
    <w:rsid w:val="16E2F205"/>
    <w:rsid w:val="16E56AD5"/>
    <w:rsid w:val="16FA1B7B"/>
    <w:rsid w:val="171F9499"/>
    <w:rsid w:val="1726F31A"/>
    <w:rsid w:val="172B5DE2"/>
    <w:rsid w:val="175C341B"/>
    <w:rsid w:val="17744EDE"/>
    <w:rsid w:val="177EF289"/>
    <w:rsid w:val="1785D556"/>
    <w:rsid w:val="179F4337"/>
    <w:rsid w:val="17B24F57"/>
    <w:rsid w:val="17EFD151"/>
    <w:rsid w:val="18531F5A"/>
    <w:rsid w:val="188AE788"/>
    <w:rsid w:val="18CDCEA7"/>
    <w:rsid w:val="18D60003"/>
    <w:rsid w:val="19815C9D"/>
    <w:rsid w:val="19E398D0"/>
    <w:rsid w:val="19EA33B5"/>
    <w:rsid w:val="1A0D9341"/>
    <w:rsid w:val="1A14AE22"/>
    <w:rsid w:val="1A7A08CD"/>
    <w:rsid w:val="1A88C60B"/>
    <w:rsid w:val="1A8C06D6"/>
    <w:rsid w:val="1A93496A"/>
    <w:rsid w:val="1B0CFFB6"/>
    <w:rsid w:val="1B1025CB"/>
    <w:rsid w:val="1B2387DD"/>
    <w:rsid w:val="1B38A0BF"/>
    <w:rsid w:val="1B437123"/>
    <w:rsid w:val="1B50DCE6"/>
    <w:rsid w:val="1B6376EF"/>
    <w:rsid w:val="1B6CD1FD"/>
    <w:rsid w:val="1BA6177F"/>
    <w:rsid w:val="1BDA8FE7"/>
    <w:rsid w:val="1C2B7639"/>
    <w:rsid w:val="1C32E5D5"/>
    <w:rsid w:val="1C7E6BDF"/>
    <w:rsid w:val="1C85CB3D"/>
    <w:rsid w:val="1C8AA630"/>
    <w:rsid w:val="1CC331F2"/>
    <w:rsid w:val="1CDC7F50"/>
    <w:rsid w:val="1CF27C17"/>
    <w:rsid w:val="1CF60B74"/>
    <w:rsid w:val="1D08F0F4"/>
    <w:rsid w:val="1D44C857"/>
    <w:rsid w:val="1D565FEE"/>
    <w:rsid w:val="1D7482AE"/>
    <w:rsid w:val="1DEE99E8"/>
    <w:rsid w:val="1DF91F70"/>
    <w:rsid w:val="1E31BD6F"/>
    <w:rsid w:val="1E52026D"/>
    <w:rsid w:val="1E60629C"/>
    <w:rsid w:val="1EB5BB32"/>
    <w:rsid w:val="1EC65DC9"/>
    <w:rsid w:val="1ED5224C"/>
    <w:rsid w:val="1EF50B3F"/>
    <w:rsid w:val="1F74191F"/>
    <w:rsid w:val="1F7F6CCB"/>
    <w:rsid w:val="1FA2250E"/>
    <w:rsid w:val="1FB0DC23"/>
    <w:rsid w:val="1FDF7898"/>
    <w:rsid w:val="1FFA73C5"/>
    <w:rsid w:val="200E3000"/>
    <w:rsid w:val="202268E6"/>
    <w:rsid w:val="20398CA4"/>
    <w:rsid w:val="204CBA84"/>
    <w:rsid w:val="2060FF0B"/>
    <w:rsid w:val="2083C688"/>
    <w:rsid w:val="20A4FCC6"/>
    <w:rsid w:val="20B87507"/>
    <w:rsid w:val="20B96CFA"/>
    <w:rsid w:val="21044011"/>
    <w:rsid w:val="2109C15D"/>
    <w:rsid w:val="2122D8F7"/>
    <w:rsid w:val="21554AC2"/>
    <w:rsid w:val="2175591D"/>
    <w:rsid w:val="21A0D321"/>
    <w:rsid w:val="21C572D7"/>
    <w:rsid w:val="21DF5EA5"/>
    <w:rsid w:val="21FC8C5E"/>
    <w:rsid w:val="225ACBAF"/>
    <w:rsid w:val="226EB034"/>
    <w:rsid w:val="22B11B31"/>
    <w:rsid w:val="22B20DCA"/>
    <w:rsid w:val="22B67163"/>
    <w:rsid w:val="22BD2A48"/>
    <w:rsid w:val="22D4F21A"/>
    <w:rsid w:val="2314BF9E"/>
    <w:rsid w:val="2339B079"/>
    <w:rsid w:val="235E450B"/>
    <w:rsid w:val="23AD5451"/>
    <w:rsid w:val="23BC7BD4"/>
    <w:rsid w:val="23BC80FF"/>
    <w:rsid w:val="23C54B06"/>
    <w:rsid w:val="23E68115"/>
    <w:rsid w:val="241E8222"/>
    <w:rsid w:val="24277D49"/>
    <w:rsid w:val="24BC884F"/>
    <w:rsid w:val="24CE9D26"/>
    <w:rsid w:val="25028899"/>
    <w:rsid w:val="2503785E"/>
    <w:rsid w:val="2515F04F"/>
    <w:rsid w:val="25203C2D"/>
    <w:rsid w:val="258C8C22"/>
    <w:rsid w:val="259120FA"/>
    <w:rsid w:val="25BF4C66"/>
    <w:rsid w:val="25E66260"/>
    <w:rsid w:val="25F4479C"/>
    <w:rsid w:val="26068B35"/>
    <w:rsid w:val="2617177D"/>
    <w:rsid w:val="26329896"/>
    <w:rsid w:val="26629368"/>
    <w:rsid w:val="2699D8A0"/>
    <w:rsid w:val="26A3904C"/>
    <w:rsid w:val="26BDB942"/>
    <w:rsid w:val="26C3B031"/>
    <w:rsid w:val="26C9603B"/>
    <w:rsid w:val="26C9EEBD"/>
    <w:rsid w:val="26CF959A"/>
    <w:rsid w:val="26EB7549"/>
    <w:rsid w:val="27108B63"/>
    <w:rsid w:val="27311FEA"/>
    <w:rsid w:val="27545833"/>
    <w:rsid w:val="277ABCAC"/>
    <w:rsid w:val="277D1ADF"/>
    <w:rsid w:val="27A47A50"/>
    <w:rsid w:val="27A72355"/>
    <w:rsid w:val="27E00EA8"/>
    <w:rsid w:val="27E1220B"/>
    <w:rsid w:val="28094C85"/>
    <w:rsid w:val="2815037D"/>
    <w:rsid w:val="283FAFB7"/>
    <w:rsid w:val="284115F8"/>
    <w:rsid w:val="287A3EA5"/>
    <w:rsid w:val="287D6A52"/>
    <w:rsid w:val="2899E327"/>
    <w:rsid w:val="28CAD36F"/>
    <w:rsid w:val="28EC3523"/>
    <w:rsid w:val="297114A9"/>
    <w:rsid w:val="29ACF7CE"/>
    <w:rsid w:val="29C0835A"/>
    <w:rsid w:val="29CA1380"/>
    <w:rsid w:val="29FE9B78"/>
    <w:rsid w:val="29FF537E"/>
    <w:rsid w:val="2A02D09A"/>
    <w:rsid w:val="2A0606B8"/>
    <w:rsid w:val="2A557F0F"/>
    <w:rsid w:val="2A6F2855"/>
    <w:rsid w:val="2A730E7A"/>
    <w:rsid w:val="2A75086F"/>
    <w:rsid w:val="2A7EE8BD"/>
    <w:rsid w:val="2A833E9E"/>
    <w:rsid w:val="2A91DB66"/>
    <w:rsid w:val="2AB11FF9"/>
    <w:rsid w:val="2ACA4BF6"/>
    <w:rsid w:val="2ACF4D37"/>
    <w:rsid w:val="2B05F8D2"/>
    <w:rsid w:val="2B16D387"/>
    <w:rsid w:val="2B48AC04"/>
    <w:rsid w:val="2B677419"/>
    <w:rsid w:val="2B69F199"/>
    <w:rsid w:val="2B930ECF"/>
    <w:rsid w:val="2BD0EA2E"/>
    <w:rsid w:val="2C7F95A9"/>
    <w:rsid w:val="2C8EF8CE"/>
    <w:rsid w:val="2CB155E6"/>
    <w:rsid w:val="2CB30213"/>
    <w:rsid w:val="2CB53478"/>
    <w:rsid w:val="2CBCFC58"/>
    <w:rsid w:val="2CDB97F7"/>
    <w:rsid w:val="2CE15FF3"/>
    <w:rsid w:val="2D2BD35A"/>
    <w:rsid w:val="2D31730D"/>
    <w:rsid w:val="2DBFA2A5"/>
    <w:rsid w:val="2DE3FA7B"/>
    <w:rsid w:val="2DF7BBBB"/>
    <w:rsid w:val="2E046246"/>
    <w:rsid w:val="2E075441"/>
    <w:rsid w:val="2E2BB5E9"/>
    <w:rsid w:val="2E422713"/>
    <w:rsid w:val="2E48A60C"/>
    <w:rsid w:val="2E7267B3"/>
    <w:rsid w:val="2EAB199F"/>
    <w:rsid w:val="2EC40C0F"/>
    <w:rsid w:val="2ECEF750"/>
    <w:rsid w:val="2EECA996"/>
    <w:rsid w:val="2F0E8420"/>
    <w:rsid w:val="2F2746BA"/>
    <w:rsid w:val="2F5B4F2B"/>
    <w:rsid w:val="2F633292"/>
    <w:rsid w:val="2F7A2048"/>
    <w:rsid w:val="2FA4B870"/>
    <w:rsid w:val="2FE16570"/>
    <w:rsid w:val="2FE257DA"/>
    <w:rsid w:val="2FE3C0C5"/>
    <w:rsid w:val="2FEC735B"/>
    <w:rsid w:val="30410ABA"/>
    <w:rsid w:val="305C8AF7"/>
    <w:rsid w:val="3062D27A"/>
    <w:rsid w:val="307A25F8"/>
    <w:rsid w:val="308689F7"/>
    <w:rsid w:val="3087205B"/>
    <w:rsid w:val="30878789"/>
    <w:rsid w:val="308C52C7"/>
    <w:rsid w:val="30D12F50"/>
    <w:rsid w:val="30EF8E2D"/>
    <w:rsid w:val="30F4A2F6"/>
    <w:rsid w:val="30FEA8FD"/>
    <w:rsid w:val="3113840C"/>
    <w:rsid w:val="316EF5AA"/>
    <w:rsid w:val="31871DD3"/>
    <w:rsid w:val="31C62AD3"/>
    <w:rsid w:val="31CA224D"/>
    <w:rsid w:val="31CB48FF"/>
    <w:rsid w:val="31D50843"/>
    <w:rsid w:val="31E8F07A"/>
    <w:rsid w:val="320A5CED"/>
    <w:rsid w:val="320C613B"/>
    <w:rsid w:val="32209758"/>
    <w:rsid w:val="3228B43E"/>
    <w:rsid w:val="32291065"/>
    <w:rsid w:val="3250C2B9"/>
    <w:rsid w:val="32547F00"/>
    <w:rsid w:val="3260E9B6"/>
    <w:rsid w:val="32C7F9E8"/>
    <w:rsid w:val="32CA4E1E"/>
    <w:rsid w:val="32F3FD4C"/>
    <w:rsid w:val="33983902"/>
    <w:rsid w:val="33A07BF1"/>
    <w:rsid w:val="33C6FD8D"/>
    <w:rsid w:val="33CBACB2"/>
    <w:rsid w:val="33CEE51A"/>
    <w:rsid w:val="33F0C498"/>
    <w:rsid w:val="341ED0B2"/>
    <w:rsid w:val="34248253"/>
    <w:rsid w:val="342CECAD"/>
    <w:rsid w:val="347D501B"/>
    <w:rsid w:val="34A2F844"/>
    <w:rsid w:val="34AE6FBF"/>
    <w:rsid w:val="34B87E39"/>
    <w:rsid w:val="34BC1DED"/>
    <w:rsid w:val="34CA8600"/>
    <w:rsid w:val="34E6DC2A"/>
    <w:rsid w:val="34E6E631"/>
    <w:rsid w:val="34FB0E64"/>
    <w:rsid w:val="35204B11"/>
    <w:rsid w:val="35570C22"/>
    <w:rsid w:val="357A76F4"/>
    <w:rsid w:val="35AE9DEF"/>
    <w:rsid w:val="35C6A287"/>
    <w:rsid w:val="35E02DA6"/>
    <w:rsid w:val="36030092"/>
    <w:rsid w:val="3604E06B"/>
    <w:rsid w:val="36173615"/>
    <w:rsid w:val="361AD101"/>
    <w:rsid w:val="361B44C8"/>
    <w:rsid w:val="3629AD5E"/>
    <w:rsid w:val="362BDE88"/>
    <w:rsid w:val="36611025"/>
    <w:rsid w:val="36AAD102"/>
    <w:rsid w:val="371E9C1D"/>
    <w:rsid w:val="371EDAE9"/>
    <w:rsid w:val="3791F6BD"/>
    <w:rsid w:val="379618EB"/>
    <w:rsid w:val="37EB8E45"/>
    <w:rsid w:val="3807FB81"/>
    <w:rsid w:val="386D7059"/>
    <w:rsid w:val="3879BC73"/>
    <w:rsid w:val="3891A89C"/>
    <w:rsid w:val="38A74808"/>
    <w:rsid w:val="38AD76C3"/>
    <w:rsid w:val="38DA57BB"/>
    <w:rsid w:val="38E79B63"/>
    <w:rsid w:val="38F0EF4A"/>
    <w:rsid w:val="38FF77EC"/>
    <w:rsid w:val="393B2B97"/>
    <w:rsid w:val="395C5249"/>
    <w:rsid w:val="399C00C9"/>
    <w:rsid w:val="39D44318"/>
    <w:rsid w:val="39E888D4"/>
    <w:rsid w:val="3A58861E"/>
    <w:rsid w:val="3A6AA6F3"/>
    <w:rsid w:val="3ACFD2B1"/>
    <w:rsid w:val="3B192090"/>
    <w:rsid w:val="3B8FAE0F"/>
    <w:rsid w:val="3B984C38"/>
    <w:rsid w:val="3BA0EE4D"/>
    <w:rsid w:val="3BA45A73"/>
    <w:rsid w:val="3BA4FC0D"/>
    <w:rsid w:val="3BC92A25"/>
    <w:rsid w:val="3BDE25E3"/>
    <w:rsid w:val="3BEED029"/>
    <w:rsid w:val="3C1C7A3D"/>
    <w:rsid w:val="3C1CBEB5"/>
    <w:rsid w:val="3C28D365"/>
    <w:rsid w:val="3C2C6F10"/>
    <w:rsid w:val="3C333703"/>
    <w:rsid w:val="3C343991"/>
    <w:rsid w:val="3C746BDD"/>
    <w:rsid w:val="3C7F0D0F"/>
    <w:rsid w:val="3C88308D"/>
    <w:rsid w:val="3CD65DB7"/>
    <w:rsid w:val="3CF8D507"/>
    <w:rsid w:val="3CFF5744"/>
    <w:rsid w:val="3D006D7C"/>
    <w:rsid w:val="3D099C63"/>
    <w:rsid w:val="3D0A9AE4"/>
    <w:rsid w:val="3D240FE2"/>
    <w:rsid w:val="3D47ADE4"/>
    <w:rsid w:val="3D4C4C8A"/>
    <w:rsid w:val="3D6F4465"/>
    <w:rsid w:val="3D979FAD"/>
    <w:rsid w:val="3D9EA7AE"/>
    <w:rsid w:val="3E114AFB"/>
    <w:rsid w:val="3E272A96"/>
    <w:rsid w:val="3E68CEF6"/>
    <w:rsid w:val="3E6BF861"/>
    <w:rsid w:val="3E725814"/>
    <w:rsid w:val="3E82F292"/>
    <w:rsid w:val="3EC77B8F"/>
    <w:rsid w:val="3EEA38EB"/>
    <w:rsid w:val="3EEABEF3"/>
    <w:rsid w:val="3F17AEE1"/>
    <w:rsid w:val="3F25B8DB"/>
    <w:rsid w:val="3F326468"/>
    <w:rsid w:val="3F632BC4"/>
    <w:rsid w:val="3F6DDC80"/>
    <w:rsid w:val="3F760AA3"/>
    <w:rsid w:val="400A082B"/>
    <w:rsid w:val="40514FCD"/>
    <w:rsid w:val="40527534"/>
    <w:rsid w:val="405B21C2"/>
    <w:rsid w:val="40CE1BC9"/>
    <w:rsid w:val="40CE21F6"/>
    <w:rsid w:val="4149553D"/>
    <w:rsid w:val="4150A845"/>
    <w:rsid w:val="4155A89C"/>
    <w:rsid w:val="4169C064"/>
    <w:rsid w:val="417C63FB"/>
    <w:rsid w:val="4191B3E0"/>
    <w:rsid w:val="41C86D50"/>
    <w:rsid w:val="41C924D4"/>
    <w:rsid w:val="41F52C33"/>
    <w:rsid w:val="42155666"/>
    <w:rsid w:val="424E963C"/>
    <w:rsid w:val="4255391B"/>
    <w:rsid w:val="42C7F184"/>
    <w:rsid w:val="43050133"/>
    <w:rsid w:val="432722D6"/>
    <w:rsid w:val="4327ACC8"/>
    <w:rsid w:val="433BA374"/>
    <w:rsid w:val="4396AA31"/>
    <w:rsid w:val="439BB7B1"/>
    <w:rsid w:val="43B28479"/>
    <w:rsid w:val="43B6525E"/>
    <w:rsid w:val="43B6A523"/>
    <w:rsid w:val="43E84F87"/>
    <w:rsid w:val="43FCE828"/>
    <w:rsid w:val="4417EB63"/>
    <w:rsid w:val="4420CA4E"/>
    <w:rsid w:val="4446258A"/>
    <w:rsid w:val="44C385A8"/>
    <w:rsid w:val="44DBE3C6"/>
    <w:rsid w:val="44FBF8B9"/>
    <w:rsid w:val="45191CAC"/>
    <w:rsid w:val="453E7E85"/>
    <w:rsid w:val="4559EF95"/>
    <w:rsid w:val="458087B9"/>
    <w:rsid w:val="459AFEC8"/>
    <w:rsid w:val="45BC7F61"/>
    <w:rsid w:val="45C95DF0"/>
    <w:rsid w:val="45D620E0"/>
    <w:rsid w:val="45FEAD9F"/>
    <w:rsid w:val="46084B97"/>
    <w:rsid w:val="461D7A46"/>
    <w:rsid w:val="46296B19"/>
    <w:rsid w:val="4668304F"/>
    <w:rsid w:val="467D9F0F"/>
    <w:rsid w:val="46863E1A"/>
    <w:rsid w:val="46ABA325"/>
    <w:rsid w:val="46BB7B3F"/>
    <w:rsid w:val="46D8B6D4"/>
    <w:rsid w:val="4718E629"/>
    <w:rsid w:val="4765BFCF"/>
    <w:rsid w:val="478DD8AA"/>
    <w:rsid w:val="47913369"/>
    <w:rsid w:val="479D2BDB"/>
    <w:rsid w:val="47AF6FDD"/>
    <w:rsid w:val="47C74009"/>
    <w:rsid w:val="484E0CED"/>
    <w:rsid w:val="4860206C"/>
    <w:rsid w:val="486D430C"/>
    <w:rsid w:val="4882D4D4"/>
    <w:rsid w:val="48958FFE"/>
    <w:rsid w:val="489C0781"/>
    <w:rsid w:val="48B9033A"/>
    <w:rsid w:val="48BEEEAC"/>
    <w:rsid w:val="490B3C8B"/>
    <w:rsid w:val="491374A3"/>
    <w:rsid w:val="498DB200"/>
    <w:rsid w:val="49B3803F"/>
    <w:rsid w:val="49B3BBCC"/>
    <w:rsid w:val="4A60A364"/>
    <w:rsid w:val="4A6DF72A"/>
    <w:rsid w:val="4A7BDC05"/>
    <w:rsid w:val="4ABAADE9"/>
    <w:rsid w:val="4AC4B05A"/>
    <w:rsid w:val="4AE96FFB"/>
    <w:rsid w:val="4B92D1E6"/>
    <w:rsid w:val="4BA803A9"/>
    <w:rsid w:val="4C097747"/>
    <w:rsid w:val="4C17CCBF"/>
    <w:rsid w:val="4C214597"/>
    <w:rsid w:val="4C3E0EED"/>
    <w:rsid w:val="4C6AAB9D"/>
    <w:rsid w:val="4C808CC6"/>
    <w:rsid w:val="4C834F00"/>
    <w:rsid w:val="4C9133EF"/>
    <w:rsid w:val="4CA7E53A"/>
    <w:rsid w:val="4CB18C08"/>
    <w:rsid w:val="4CF6514F"/>
    <w:rsid w:val="4D095D0E"/>
    <w:rsid w:val="4D62DEB7"/>
    <w:rsid w:val="4D646B82"/>
    <w:rsid w:val="4D951463"/>
    <w:rsid w:val="4DACD72A"/>
    <w:rsid w:val="4DB29C42"/>
    <w:rsid w:val="4DD0BCA3"/>
    <w:rsid w:val="4DE79C3C"/>
    <w:rsid w:val="4DFDA835"/>
    <w:rsid w:val="4E13AD28"/>
    <w:rsid w:val="4E1917D4"/>
    <w:rsid w:val="4E35D3D9"/>
    <w:rsid w:val="4E58392C"/>
    <w:rsid w:val="4E7611F3"/>
    <w:rsid w:val="4EE44E89"/>
    <w:rsid w:val="4EE45C60"/>
    <w:rsid w:val="4EE50CA3"/>
    <w:rsid w:val="4F245969"/>
    <w:rsid w:val="4F2F4835"/>
    <w:rsid w:val="4F37E5E5"/>
    <w:rsid w:val="4F43EDE0"/>
    <w:rsid w:val="4F55AE9A"/>
    <w:rsid w:val="4FAC4F8A"/>
    <w:rsid w:val="4FAEB9F8"/>
    <w:rsid w:val="4FC0D513"/>
    <w:rsid w:val="4FC6201B"/>
    <w:rsid w:val="4FCCFD61"/>
    <w:rsid w:val="4FDCD81B"/>
    <w:rsid w:val="50048F06"/>
    <w:rsid w:val="50253D70"/>
    <w:rsid w:val="502BE25D"/>
    <w:rsid w:val="503016A8"/>
    <w:rsid w:val="5041091D"/>
    <w:rsid w:val="5044894E"/>
    <w:rsid w:val="504B75D9"/>
    <w:rsid w:val="5057AF33"/>
    <w:rsid w:val="506E5602"/>
    <w:rsid w:val="507C32C0"/>
    <w:rsid w:val="50835FB2"/>
    <w:rsid w:val="5084DED7"/>
    <w:rsid w:val="50B75870"/>
    <w:rsid w:val="50E5EF43"/>
    <w:rsid w:val="50F15DDB"/>
    <w:rsid w:val="50F4B0DF"/>
    <w:rsid w:val="511DFFF4"/>
    <w:rsid w:val="515447D8"/>
    <w:rsid w:val="5192B93A"/>
    <w:rsid w:val="5193FC59"/>
    <w:rsid w:val="51AA661D"/>
    <w:rsid w:val="51CB164E"/>
    <w:rsid w:val="51DE39BB"/>
    <w:rsid w:val="52238864"/>
    <w:rsid w:val="5243AF83"/>
    <w:rsid w:val="5244BF9A"/>
    <w:rsid w:val="524DFBDB"/>
    <w:rsid w:val="527C9220"/>
    <w:rsid w:val="52A98A5C"/>
    <w:rsid w:val="52DACFF7"/>
    <w:rsid w:val="52EC4563"/>
    <w:rsid w:val="532D33A4"/>
    <w:rsid w:val="53333372"/>
    <w:rsid w:val="53339459"/>
    <w:rsid w:val="53801C1C"/>
    <w:rsid w:val="5389F7FB"/>
    <w:rsid w:val="53BBB7C1"/>
    <w:rsid w:val="53D81208"/>
    <w:rsid w:val="53DD5751"/>
    <w:rsid w:val="541445BB"/>
    <w:rsid w:val="543ACB88"/>
    <w:rsid w:val="543E4E99"/>
    <w:rsid w:val="54467787"/>
    <w:rsid w:val="54615AC0"/>
    <w:rsid w:val="547078F6"/>
    <w:rsid w:val="549D72F9"/>
    <w:rsid w:val="54C999F4"/>
    <w:rsid w:val="54E39508"/>
    <w:rsid w:val="54FE4A27"/>
    <w:rsid w:val="5557D6C3"/>
    <w:rsid w:val="555A50BA"/>
    <w:rsid w:val="555B35CA"/>
    <w:rsid w:val="555CC3E3"/>
    <w:rsid w:val="5585B7FE"/>
    <w:rsid w:val="5591EE02"/>
    <w:rsid w:val="559BE1F8"/>
    <w:rsid w:val="559DEB44"/>
    <w:rsid w:val="55DB144A"/>
    <w:rsid w:val="55EA63D5"/>
    <w:rsid w:val="55FA0D52"/>
    <w:rsid w:val="5624499E"/>
    <w:rsid w:val="562C718B"/>
    <w:rsid w:val="569208CC"/>
    <w:rsid w:val="56B6F6F0"/>
    <w:rsid w:val="56F555B3"/>
    <w:rsid w:val="56FBB517"/>
    <w:rsid w:val="5713430E"/>
    <w:rsid w:val="57170A69"/>
    <w:rsid w:val="57624471"/>
    <w:rsid w:val="577FB1E6"/>
    <w:rsid w:val="578F1DEF"/>
    <w:rsid w:val="57C13880"/>
    <w:rsid w:val="58086CA6"/>
    <w:rsid w:val="5852546C"/>
    <w:rsid w:val="585398FC"/>
    <w:rsid w:val="58988701"/>
    <w:rsid w:val="58A55323"/>
    <w:rsid w:val="58CA5B17"/>
    <w:rsid w:val="58CAD879"/>
    <w:rsid w:val="592AAC7F"/>
    <w:rsid w:val="5953AAFB"/>
    <w:rsid w:val="595D2F43"/>
    <w:rsid w:val="5969FB38"/>
    <w:rsid w:val="5977D811"/>
    <w:rsid w:val="598ACAA4"/>
    <w:rsid w:val="598FD092"/>
    <w:rsid w:val="5994DAB0"/>
    <w:rsid w:val="599C1C87"/>
    <w:rsid w:val="59A06F2D"/>
    <w:rsid w:val="5A11B2BC"/>
    <w:rsid w:val="5A3E458C"/>
    <w:rsid w:val="5A673F22"/>
    <w:rsid w:val="5A7BEF48"/>
    <w:rsid w:val="5A987311"/>
    <w:rsid w:val="5A9F9550"/>
    <w:rsid w:val="5ACC9A87"/>
    <w:rsid w:val="5ADC9E72"/>
    <w:rsid w:val="5B1628CF"/>
    <w:rsid w:val="5B1697E3"/>
    <w:rsid w:val="5B2531D4"/>
    <w:rsid w:val="5B46DE93"/>
    <w:rsid w:val="5B81BC03"/>
    <w:rsid w:val="5BB5EF26"/>
    <w:rsid w:val="5C16621F"/>
    <w:rsid w:val="5C23E0E4"/>
    <w:rsid w:val="5C37EB4B"/>
    <w:rsid w:val="5C4E4E6C"/>
    <w:rsid w:val="5C873472"/>
    <w:rsid w:val="5CA3F4EF"/>
    <w:rsid w:val="5CAE5308"/>
    <w:rsid w:val="5CCC8017"/>
    <w:rsid w:val="5CDBEF4F"/>
    <w:rsid w:val="5CEB3A13"/>
    <w:rsid w:val="5CFB7223"/>
    <w:rsid w:val="5CFC93A9"/>
    <w:rsid w:val="5D1D07BC"/>
    <w:rsid w:val="5D5C54C8"/>
    <w:rsid w:val="5D8932D1"/>
    <w:rsid w:val="5DC22049"/>
    <w:rsid w:val="5DD8085F"/>
    <w:rsid w:val="5DE893CE"/>
    <w:rsid w:val="5E506D00"/>
    <w:rsid w:val="5E8EC9A0"/>
    <w:rsid w:val="5EB015EB"/>
    <w:rsid w:val="5EC8C039"/>
    <w:rsid w:val="5EF60540"/>
    <w:rsid w:val="5F41A823"/>
    <w:rsid w:val="5F4A5375"/>
    <w:rsid w:val="5F681644"/>
    <w:rsid w:val="5F6F1AF1"/>
    <w:rsid w:val="5FB02185"/>
    <w:rsid w:val="5FC08E0B"/>
    <w:rsid w:val="5FDA3CC5"/>
    <w:rsid w:val="600B2CBE"/>
    <w:rsid w:val="60226763"/>
    <w:rsid w:val="604796F1"/>
    <w:rsid w:val="605EE6A3"/>
    <w:rsid w:val="6060075B"/>
    <w:rsid w:val="607C86AB"/>
    <w:rsid w:val="60BC91BB"/>
    <w:rsid w:val="60E60A90"/>
    <w:rsid w:val="60F04CA6"/>
    <w:rsid w:val="6118FEDA"/>
    <w:rsid w:val="611F27F0"/>
    <w:rsid w:val="61477BD8"/>
    <w:rsid w:val="614EE733"/>
    <w:rsid w:val="6166764A"/>
    <w:rsid w:val="6198933B"/>
    <w:rsid w:val="61B31053"/>
    <w:rsid w:val="61B72C46"/>
    <w:rsid w:val="61F7959B"/>
    <w:rsid w:val="62072389"/>
    <w:rsid w:val="622A59E1"/>
    <w:rsid w:val="6252DC57"/>
    <w:rsid w:val="6272C2B6"/>
    <w:rsid w:val="6279B67C"/>
    <w:rsid w:val="627CD26E"/>
    <w:rsid w:val="627F27FB"/>
    <w:rsid w:val="62C1617A"/>
    <w:rsid w:val="62C5CDF5"/>
    <w:rsid w:val="62DE1453"/>
    <w:rsid w:val="62FECDD6"/>
    <w:rsid w:val="632BF9F3"/>
    <w:rsid w:val="636D18B1"/>
    <w:rsid w:val="637040DA"/>
    <w:rsid w:val="6394BCB1"/>
    <w:rsid w:val="63A81753"/>
    <w:rsid w:val="63D18137"/>
    <w:rsid w:val="63DEE224"/>
    <w:rsid w:val="63E57B11"/>
    <w:rsid w:val="63FD2496"/>
    <w:rsid w:val="64E4ED1E"/>
    <w:rsid w:val="654D707B"/>
    <w:rsid w:val="65840192"/>
    <w:rsid w:val="65A822C6"/>
    <w:rsid w:val="65AB0D33"/>
    <w:rsid w:val="65ADF24D"/>
    <w:rsid w:val="65F2F8C5"/>
    <w:rsid w:val="66009D92"/>
    <w:rsid w:val="66021146"/>
    <w:rsid w:val="661A5081"/>
    <w:rsid w:val="663F1A04"/>
    <w:rsid w:val="665DC53C"/>
    <w:rsid w:val="665F7983"/>
    <w:rsid w:val="669527EA"/>
    <w:rsid w:val="6706415D"/>
    <w:rsid w:val="670F6D4A"/>
    <w:rsid w:val="6712C07C"/>
    <w:rsid w:val="672E9A91"/>
    <w:rsid w:val="673568E1"/>
    <w:rsid w:val="67A50C3F"/>
    <w:rsid w:val="67D965BA"/>
    <w:rsid w:val="68087BF3"/>
    <w:rsid w:val="682724C3"/>
    <w:rsid w:val="682F80B2"/>
    <w:rsid w:val="684FA344"/>
    <w:rsid w:val="6875C54F"/>
    <w:rsid w:val="6878919A"/>
    <w:rsid w:val="68956B15"/>
    <w:rsid w:val="68B35AF9"/>
    <w:rsid w:val="68DFF7CE"/>
    <w:rsid w:val="68F1E109"/>
    <w:rsid w:val="6907F0BE"/>
    <w:rsid w:val="696B0958"/>
    <w:rsid w:val="696F1356"/>
    <w:rsid w:val="6979621C"/>
    <w:rsid w:val="69C9B7F2"/>
    <w:rsid w:val="69D1C228"/>
    <w:rsid w:val="6A4E9A95"/>
    <w:rsid w:val="6AACC8CE"/>
    <w:rsid w:val="6AB2FB00"/>
    <w:rsid w:val="6AC0DB18"/>
    <w:rsid w:val="6ADBEA74"/>
    <w:rsid w:val="6AFE92BF"/>
    <w:rsid w:val="6B9DEB8F"/>
    <w:rsid w:val="6BA76E9D"/>
    <w:rsid w:val="6BCE9893"/>
    <w:rsid w:val="6C130733"/>
    <w:rsid w:val="6C44535E"/>
    <w:rsid w:val="6C5BDC12"/>
    <w:rsid w:val="6C88CBFD"/>
    <w:rsid w:val="6C8E4034"/>
    <w:rsid w:val="6CC7A0A5"/>
    <w:rsid w:val="6CC8483D"/>
    <w:rsid w:val="6D122587"/>
    <w:rsid w:val="6D233A1E"/>
    <w:rsid w:val="6D49AD0B"/>
    <w:rsid w:val="6D5590F4"/>
    <w:rsid w:val="6D6D635A"/>
    <w:rsid w:val="6D9465E3"/>
    <w:rsid w:val="6DC83ECD"/>
    <w:rsid w:val="6DD0CE8F"/>
    <w:rsid w:val="6DD6D1CD"/>
    <w:rsid w:val="6DFF518B"/>
    <w:rsid w:val="6E030891"/>
    <w:rsid w:val="6E207BEF"/>
    <w:rsid w:val="6E3C34F4"/>
    <w:rsid w:val="6E5E4091"/>
    <w:rsid w:val="6E696A52"/>
    <w:rsid w:val="6E80112D"/>
    <w:rsid w:val="6E86CAA4"/>
    <w:rsid w:val="6E8B5752"/>
    <w:rsid w:val="6F349C3C"/>
    <w:rsid w:val="6F3E9EE2"/>
    <w:rsid w:val="6FDC9B47"/>
    <w:rsid w:val="6FDD408D"/>
    <w:rsid w:val="6FE51538"/>
    <w:rsid w:val="6FF7173E"/>
    <w:rsid w:val="70016B54"/>
    <w:rsid w:val="700F9BF1"/>
    <w:rsid w:val="701E4429"/>
    <w:rsid w:val="704367D0"/>
    <w:rsid w:val="704EF019"/>
    <w:rsid w:val="7074843C"/>
    <w:rsid w:val="70850737"/>
    <w:rsid w:val="7088528A"/>
    <w:rsid w:val="70890B0E"/>
    <w:rsid w:val="708F8677"/>
    <w:rsid w:val="70997BB7"/>
    <w:rsid w:val="709AAF28"/>
    <w:rsid w:val="70A457CF"/>
    <w:rsid w:val="70CE96B8"/>
    <w:rsid w:val="70CEF8EE"/>
    <w:rsid w:val="710DF174"/>
    <w:rsid w:val="7119DDC0"/>
    <w:rsid w:val="711C44C3"/>
    <w:rsid w:val="716B9296"/>
    <w:rsid w:val="7176EEC6"/>
    <w:rsid w:val="717A4B71"/>
    <w:rsid w:val="717B74A5"/>
    <w:rsid w:val="71C96797"/>
    <w:rsid w:val="71F396DE"/>
    <w:rsid w:val="71F7A224"/>
    <w:rsid w:val="7247F6D2"/>
    <w:rsid w:val="72B6BBB2"/>
    <w:rsid w:val="72D45A82"/>
    <w:rsid w:val="73207C52"/>
    <w:rsid w:val="732ADCED"/>
    <w:rsid w:val="7334DA2B"/>
    <w:rsid w:val="733E9A37"/>
    <w:rsid w:val="735072DB"/>
    <w:rsid w:val="73651546"/>
    <w:rsid w:val="737BEEDD"/>
    <w:rsid w:val="739ECC57"/>
    <w:rsid w:val="73C20015"/>
    <w:rsid w:val="74176F7F"/>
    <w:rsid w:val="74197FDC"/>
    <w:rsid w:val="743A2416"/>
    <w:rsid w:val="7442665D"/>
    <w:rsid w:val="746EED60"/>
    <w:rsid w:val="748ED6EA"/>
    <w:rsid w:val="7495F254"/>
    <w:rsid w:val="749ABCD3"/>
    <w:rsid w:val="74AAD27E"/>
    <w:rsid w:val="74BC25B4"/>
    <w:rsid w:val="74C2AA16"/>
    <w:rsid w:val="74C7FC9C"/>
    <w:rsid w:val="74D73697"/>
    <w:rsid w:val="74D92A48"/>
    <w:rsid w:val="7514FD48"/>
    <w:rsid w:val="751A62F1"/>
    <w:rsid w:val="7537F2ED"/>
    <w:rsid w:val="754162AE"/>
    <w:rsid w:val="75485C47"/>
    <w:rsid w:val="75660233"/>
    <w:rsid w:val="75997A63"/>
    <w:rsid w:val="75C03D2A"/>
    <w:rsid w:val="75D9CE98"/>
    <w:rsid w:val="75F44D86"/>
    <w:rsid w:val="75FFFC7D"/>
    <w:rsid w:val="761EA4DF"/>
    <w:rsid w:val="76222C94"/>
    <w:rsid w:val="762F7434"/>
    <w:rsid w:val="7666E38E"/>
    <w:rsid w:val="76AFFE2A"/>
    <w:rsid w:val="76B1BCE3"/>
    <w:rsid w:val="76D69A0D"/>
    <w:rsid w:val="779CAD96"/>
    <w:rsid w:val="781157BB"/>
    <w:rsid w:val="7813FC84"/>
    <w:rsid w:val="782E3C90"/>
    <w:rsid w:val="78336CBA"/>
    <w:rsid w:val="7833C27F"/>
    <w:rsid w:val="7836E7F7"/>
    <w:rsid w:val="7852C14E"/>
    <w:rsid w:val="786FE333"/>
    <w:rsid w:val="78DEFB22"/>
    <w:rsid w:val="78F61CE6"/>
    <w:rsid w:val="79242B73"/>
    <w:rsid w:val="796AF8F6"/>
    <w:rsid w:val="7973FE90"/>
    <w:rsid w:val="79962C8B"/>
    <w:rsid w:val="79AF5590"/>
    <w:rsid w:val="79BB78C4"/>
    <w:rsid w:val="79CADA22"/>
    <w:rsid w:val="79DE023D"/>
    <w:rsid w:val="7A040464"/>
    <w:rsid w:val="7A09F360"/>
    <w:rsid w:val="7A8A9096"/>
    <w:rsid w:val="7AE1082E"/>
    <w:rsid w:val="7B0A5C80"/>
    <w:rsid w:val="7B1EC95F"/>
    <w:rsid w:val="7B3C8225"/>
    <w:rsid w:val="7B4113FD"/>
    <w:rsid w:val="7B49653D"/>
    <w:rsid w:val="7B4A4722"/>
    <w:rsid w:val="7B9643BD"/>
    <w:rsid w:val="7BAC6629"/>
    <w:rsid w:val="7BEDF134"/>
    <w:rsid w:val="7BEFE074"/>
    <w:rsid w:val="7C3114E7"/>
    <w:rsid w:val="7C358B85"/>
    <w:rsid w:val="7C3C020C"/>
    <w:rsid w:val="7C584212"/>
    <w:rsid w:val="7C5A9BDF"/>
    <w:rsid w:val="7C763560"/>
    <w:rsid w:val="7C919C1E"/>
    <w:rsid w:val="7C928721"/>
    <w:rsid w:val="7CABA66E"/>
    <w:rsid w:val="7CD67C17"/>
    <w:rsid w:val="7CD93CE9"/>
    <w:rsid w:val="7D32E220"/>
    <w:rsid w:val="7D353DE9"/>
    <w:rsid w:val="7D56C538"/>
    <w:rsid w:val="7D7384D2"/>
    <w:rsid w:val="7D846D65"/>
    <w:rsid w:val="7D9577F3"/>
    <w:rsid w:val="7DA99485"/>
    <w:rsid w:val="7DAC6E57"/>
    <w:rsid w:val="7DAFAB3A"/>
    <w:rsid w:val="7E4160B9"/>
    <w:rsid w:val="7E9B81F0"/>
    <w:rsid w:val="7EC7C540"/>
    <w:rsid w:val="7EE6AA30"/>
    <w:rsid w:val="7EE747E4"/>
    <w:rsid w:val="7F2C4809"/>
    <w:rsid w:val="7F8BF904"/>
    <w:rsid w:val="7FD2CD4C"/>
    <w:rsid w:val="7FDFFD52"/>
    <w:rsid w:val="7FEB444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49FFA"/>
  <w15:chartTrackingRefBased/>
  <w15:docId w15:val="{2F5878D6-4CB0-485B-AED2-9DBD86EF6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2E13"/>
    <w:pPr>
      <w:keepNext/>
      <w:keepLines/>
      <w:spacing w:before="360" w:after="80"/>
      <w:outlineLvl w:val="0"/>
    </w:pPr>
    <w:rPr>
      <w:rFonts w:asciiTheme="majorHAnsi" w:eastAsiaTheme="majorEastAsia" w:hAnsiTheme="majorHAnsi" w:cstheme="majorBidi"/>
      <w:color w:val="00538F" w:themeColor="accent1" w:themeShade="BF"/>
      <w:sz w:val="40"/>
      <w:szCs w:val="40"/>
    </w:rPr>
  </w:style>
  <w:style w:type="paragraph" w:styleId="Heading2">
    <w:name w:val="heading 2"/>
    <w:basedOn w:val="Normal"/>
    <w:next w:val="Normal"/>
    <w:link w:val="Heading2Char"/>
    <w:uiPriority w:val="9"/>
    <w:unhideWhenUsed/>
    <w:qFormat/>
    <w:rsid w:val="00412E13"/>
    <w:pPr>
      <w:keepNext/>
      <w:keepLines/>
      <w:spacing w:before="160" w:after="80"/>
      <w:outlineLvl w:val="1"/>
    </w:pPr>
    <w:rPr>
      <w:rFonts w:asciiTheme="majorHAnsi" w:eastAsiaTheme="majorEastAsia" w:hAnsiTheme="majorHAnsi" w:cstheme="majorBidi"/>
      <w:color w:val="00538F" w:themeColor="accent1" w:themeShade="BF"/>
      <w:sz w:val="32"/>
      <w:szCs w:val="32"/>
    </w:rPr>
  </w:style>
  <w:style w:type="paragraph" w:styleId="Heading3">
    <w:name w:val="heading 3"/>
    <w:basedOn w:val="Normal"/>
    <w:next w:val="Normal"/>
    <w:link w:val="Heading3Char"/>
    <w:uiPriority w:val="9"/>
    <w:unhideWhenUsed/>
    <w:qFormat/>
    <w:rsid w:val="00412E13"/>
    <w:pPr>
      <w:keepNext/>
      <w:keepLines/>
      <w:spacing w:before="160" w:after="80"/>
      <w:outlineLvl w:val="2"/>
    </w:pPr>
    <w:rPr>
      <w:rFonts w:eastAsiaTheme="majorEastAsia" w:cstheme="majorBidi"/>
      <w:color w:val="00538F" w:themeColor="accent1" w:themeShade="BF"/>
      <w:sz w:val="28"/>
      <w:szCs w:val="28"/>
    </w:rPr>
  </w:style>
  <w:style w:type="paragraph" w:styleId="Heading4">
    <w:name w:val="heading 4"/>
    <w:basedOn w:val="Normal"/>
    <w:next w:val="Normal"/>
    <w:link w:val="Heading4Char"/>
    <w:uiPriority w:val="9"/>
    <w:semiHidden/>
    <w:unhideWhenUsed/>
    <w:qFormat/>
    <w:rsid w:val="00412E13"/>
    <w:pPr>
      <w:keepNext/>
      <w:keepLines/>
      <w:spacing w:before="80" w:after="40"/>
      <w:outlineLvl w:val="3"/>
    </w:pPr>
    <w:rPr>
      <w:rFonts w:eastAsiaTheme="majorEastAsia" w:cstheme="majorBidi"/>
      <w:i/>
      <w:iCs/>
      <w:color w:val="00538F" w:themeColor="accent1" w:themeShade="BF"/>
    </w:rPr>
  </w:style>
  <w:style w:type="paragraph" w:styleId="Heading5">
    <w:name w:val="heading 5"/>
    <w:basedOn w:val="Normal"/>
    <w:next w:val="Normal"/>
    <w:link w:val="Heading5Char"/>
    <w:uiPriority w:val="9"/>
    <w:semiHidden/>
    <w:unhideWhenUsed/>
    <w:qFormat/>
    <w:rsid w:val="00412E13"/>
    <w:pPr>
      <w:keepNext/>
      <w:keepLines/>
      <w:spacing w:before="80" w:after="40"/>
      <w:outlineLvl w:val="4"/>
    </w:pPr>
    <w:rPr>
      <w:rFonts w:eastAsiaTheme="majorEastAsia" w:cstheme="majorBidi"/>
      <w:color w:val="00538F" w:themeColor="accent1" w:themeShade="BF"/>
    </w:rPr>
  </w:style>
  <w:style w:type="paragraph" w:styleId="Heading6">
    <w:name w:val="heading 6"/>
    <w:basedOn w:val="Normal"/>
    <w:next w:val="Normal"/>
    <w:link w:val="Heading6Char"/>
    <w:uiPriority w:val="9"/>
    <w:semiHidden/>
    <w:unhideWhenUsed/>
    <w:qFormat/>
    <w:rsid w:val="00412E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E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E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E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E13"/>
    <w:rPr>
      <w:rFonts w:asciiTheme="majorHAnsi" w:eastAsiaTheme="majorEastAsia" w:hAnsiTheme="majorHAnsi" w:cstheme="majorBidi"/>
      <w:color w:val="00538F" w:themeColor="accent1" w:themeShade="BF"/>
      <w:sz w:val="40"/>
      <w:szCs w:val="40"/>
    </w:rPr>
  </w:style>
  <w:style w:type="character" w:customStyle="1" w:styleId="Heading2Char">
    <w:name w:val="Heading 2 Char"/>
    <w:basedOn w:val="DefaultParagraphFont"/>
    <w:link w:val="Heading2"/>
    <w:uiPriority w:val="9"/>
    <w:rsid w:val="00412E13"/>
    <w:rPr>
      <w:rFonts w:asciiTheme="majorHAnsi" w:eastAsiaTheme="majorEastAsia" w:hAnsiTheme="majorHAnsi" w:cstheme="majorBidi"/>
      <w:color w:val="00538F" w:themeColor="accent1" w:themeShade="BF"/>
      <w:sz w:val="32"/>
      <w:szCs w:val="32"/>
    </w:rPr>
  </w:style>
  <w:style w:type="character" w:customStyle="1" w:styleId="Heading3Char">
    <w:name w:val="Heading 3 Char"/>
    <w:basedOn w:val="DefaultParagraphFont"/>
    <w:link w:val="Heading3"/>
    <w:uiPriority w:val="9"/>
    <w:rsid w:val="00412E13"/>
    <w:rPr>
      <w:rFonts w:eastAsiaTheme="majorEastAsia" w:cstheme="majorBidi"/>
      <w:color w:val="00538F" w:themeColor="accent1" w:themeShade="BF"/>
      <w:sz w:val="28"/>
      <w:szCs w:val="28"/>
    </w:rPr>
  </w:style>
  <w:style w:type="character" w:customStyle="1" w:styleId="Heading4Char">
    <w:name w:val="Heading 4 Char"/>
    <w:basedOn w:val="DefaultParagraphFont"/>
    <w:link w:val="Heading4"/>
    <w:uiPriority w:val="9"/>
    <w:semiHidden/>
    <w:rsid w:val="00412E13"/>
    <w:rPr>
      <w:rFonts w:eastAsiaTheme="majorEastAsia" w:cstheme="majorBidi"/>
      <w:i/>
      <w:iCs/>
      <w:color w:val="00538F" w:themeColor="accent1" w:themeShade="BF"/>
    </w:rPr>
  </w:style>
  <w:style w:type="character" w:customStyle="1" w:styleId="Heading5Char">
    <w:name w:val="Heading 5 Char"/>
    <w:basedOn w:val="DefaultParagraphFont"/>
    <w:link w:val="Heading5"/>
    <w:uiPriority w:val="9"/>
    <w:semiHidden/>
    <w:rsid w:val="00412E13"/>
    <w:rPr>
      <w:rFonts w:eastAsiaTheme="majorEastAsia" w:cstheme="majorBidi"/>
      <w:color w:val="00538F" w:themeColor="accent1" w:themeShade="BF"/>
    </w:rPr>
  </w:style>
  <w:style w:type="character" w:customStyle="1" w:styleId="Heading6Char">
    <w:name w:val="Heading 6 Char"/>
    <w:basedOn w:val="DefaultParagraphFont"/>
    <w:link w:val="Heading6"/>
    <w:uiPriority w:val="9"/>
    <w:semiHidden/>
    <w:rsid w:val="00412E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E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E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E13"/>
    <w:rPr>
      <w:rFonts w:eastAsiaTheme="majorEastAsia" w:cstheme="majorBidi"/>
      <w:color w:val="272727" w:themeColor="text1" w:themeTint="D8"/>
    </w:rPr>
  </w:style>
  <w:style w:type="paragraph" w:styleId="Title">
    <w:name w:val="Title"/>
    <w:basedOn w:val="Normal"/>
    <w:next w:val="Normal"/>
    <w:link w:val="TitleChar"/>
    <w:uiPriority w:val="10"/>
    <w:qFormat/>
    <w:rsid w:val="00412E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E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E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E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E13"/>
    <w:pPr>
      <w:spacing w:before="160"/>
      <w:jc w:val="center"/>
    </w:pPr>
    <w:rPr>
      <w:i/>
      <w:iCs/>
      <w:color w:val="404040" w:themeColor="text1" w:themeTint="BF"/>
    </w:rPr>
  </w:style>
  <w:style w:type="character" w:customStyle="1" w:styleId="QuoteChar">
    <w:name w:val="Quote Char"/>
    <w:basedOn w:val="DefaultParagraphFont"/>
    <w:link w:val="Quote"/>
    <w:uiPriority w:val="29"/>
    <w:rsid w:val="00412E13"/>
    <w:rPr>
      <w:i/>
      <w:iCs/>
      <w:color w:val="404040" w:themeColor="text1" w:themeTint="BF"/>
    </w:rPr>
  </w:style>
  <w:style w:type="paragraph" w:styleId="ListParagraph">
    <w:name w:val="List Paragraph"/>
    <w:basedOn w:val="Normal"/>
    <w:uiPriority w:val="34"/>
    <w:qFormat/>
    <w:rsid w:val="00412E13"/>
    <w:pPr>
      <w:ind w:left="720"/>
      <w:contextualSpacing/>
    </w:pPr>
  </w:style>
  <w:style w:type="character" w:styleId="IntenseEmphasis">
    <w:name w:val="Intense Emphasis"/>
    <w:basedOn w:val="DefaultParagraphFont"/>
    <w:uiPriority w:val="21"/>
    <w:qFormat/>
    <w:rsid w:val="00412E13"/>
    <w:rPr>
      <w:i/>
      <w:iCs/>
      <w:color w:val="00538F" w:themeColor="accent1" w:themeShade="BF"/>
    </w:rPr>
  </w:style>
  <w:style w:type="paragraph" w:styleId="IntenseQuote">
    <w:name w:val="Intense Quote"/>
    <w:basedOn w:val="Normal"/>
    <w:next w:val="Normal"/>
    <w:link w:val="IntenseQuoteChar"/>
    <w:uiPriority w:val="30"/>
    <w:qFormat/>
    <w:rsid w:val="00412E13"/>
    <w:pPr>
      <w:pBdr>
        <w:top w:val="single" w:sz="4" w:space="10" w:color="00538F" w:themeColor="accent1" w:themeShade="BF"/>
        <w:bottom w:val="single" w:sz="4" w:space="10" w:color="00538F" w:themeColor="accent1" w:themeShade="BF"/>
      </w:pBdr>
      <w:spacing w:before="360" w:after="360"/>
      <w:ind w:left="864" w:right="864"/>
      <w:jc w:val="center"/>
    </w:pPr>
    <w:rPr>
      <w:i/>
      <w:iCs/>
      <w:color w:val="00538F" w:themeColor="accent1" w:themeShade="BF"/>
    </w:rPr>
  </w:style>
  <w:style w:type="character" w:customStyle="1" w:styleId="IntenseQuoteChar">
    <w:name w:val="Intense Quote Char"/>
    <w:basedOn w:val="DefaultParagraphFont"/>
    <w:link w:val="IntenseQuote"/>
    <w:uiPriority w:val="30"/>
    <w:rsid w:val="00412E13"/>
    <w:rPr>
      <w:i/>
      <w:iCs/>
      <w:color w:val="00538F" w:themeColor="accent1" w:themeShade="BF"/>
    </w:rPr>
  </w:style>
  <w:style w:type="character" w:styleId="IntenseReference">
    <w:name w:val="Intense Reference"/>
    <w:basedOn w:val="DefaultParagraphFont"/>
    <w:uiPriority w:val="32"/>
    <w:qFormat/>
    <w:rsid w:val="00412E13"/>
    <w:rPr>
      <w:b/>
      <w:bCs/>
      <w:smallCaps/>
      <w:color w:val="00538F" w:themeColor="accent1" w:themeShade="BF"/>
      <w:spacing w:val="5"/>
    </w:rPr>
  </w:style>
  <w:style w:type="paragraph" w:styleId="NoSpacing">
    <w:name w:val="No Spacing"/>
    <w:link w:val="NoSpacingChar"/>
    <w:uiPriority w:val="1"/>
    <w:qFormat/>
    <w:rsid w:val="00412E13"/>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412E13"/>
    <w:rPr>
      <w:rFonts w:eastAsiaTheme="minorEastAsia"/>
      <w:kern w:val="0"/>
      <w:sz w:val="22"/>
      <w:szCs w:val="22"/>
      <w:lang w:val="en-US"/>
      <w14:ligatures w14:val="none"/>
    </w:rPr>
  </w:style>
  <w:style w:type="paragraph" w:styleId="FootnoteText">
    <w:name w:val="footnote text"/>
    <w:basedOn w:val="Normal"/>
    <w:link w:val="FootnoteTextChar"/>
    <w:uiPriority w:val="99"/>
    <w:semiHidden/>
    <w:unhideWhenUsed/>
    <w:rsid w:val="00412E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2E13"/>
    <w:rPr>
      <w:sz w:val="20"/>
      <w:szCs w:val="20"/>
    </w:rPr>
  </w:style>
  <w:style w:type="character" w:styleId="FootnoteReference">
    <w:name w:val="footnote reference"/>
    <w:basedOn w:val="DefaultParagraphFont"/>
    <w:uiPriority w:val="99"/>
    <w:semiHidden/>
    <w:unhideWhenUsed/>
    <w:rsid w:val="00412E13"/>
    <w:rPr>
      <w:vertAlign w:val="superscript"/>
    </w:rPr>
  </w:style>
  <w:style w:type="character" w:styleId="Hyperlink">
    <w:name w:val="Hyperlink"/>
    <w:basedOn w:val="DefaultParagraphFont"/>
    <w:uiPriority w:val="99"/>
    <w:unhideWhenUsed/>
    <w:rsid w:val="00412E13"/>
    <w:rPr>
      <w:color w:val="EE7B08" w:themeColor="hyperlink"/>
      <w:u w:val="single"/>
    </w:rPr>
  </w:style>
  <w:style w:type="character" w:styleId="UnresolvedMention">
    <w:name w:val="Unresolved Mention"/>
    <w:basedOn w:val="DefaultParagraphFont"/>
    <w:uiPriority w:val="99"/>
    <w:semiHidden/>
    <w:unhideWhenUsed/>
    <w:rsid w:val="00412E13"/>
    <w:rPr>
      <w:color w:val="605E5C"/>
      <w:shd w:val="clear" w:color="auto" w:fill="E1DFDD"/>
    </w:rPr>
  </w:style>
  <w:style w:type="table" w:styleId="TableGrid">
    <w:name w:val="Table Grid"/>
    <w:basedOn w:val="TableNormal"/>
    <w:uiPriority w:val="59"/>
    <w:rsid w:val="00412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6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AC7"/>
  </w:style>
  <w:style w:type="paragraph" w:styleId="Footer">
    <w:name w:val="footer"/>
    <w:basedOn w:val="Normal"/>
    <w:link w:val="FooterChar"/>
    <w:uiPriority w:val="99"/>
    <w:unhideWhenUsed/>
    <w:rsid w:val="00776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AC7"/>
  </w:style>
  <w:style w:type="paragraph" w:styleId="Revision">
    <w:name w:val="Revision"/>
    <w:hidden/>
    <w:uiPriority w:val="99"/>
    <w:semiHidden/>
    <w:rsid w:val="00A74382"/>
    <w:pPr>
      <w:spacing w:after="0" w:line="240" w:lineRule="auto"/>
    </w:pPr>
  </w:style>
  <w:style w:type="character" w:styleId="CommentReference">
    <w:name w:val="annotation reference"/>
    <w:basedOn w:val="DefaultParagraphFont"/>
    <w:uiPriority w:val="99"/>
    <w:semiHidden/>
    <w:unhideWhenUsed/>
    <w:rsid w:val="004F5A85"/>
    <w:rPr>
      <w:sz w:val="16"/>
      <w:szCs w:val="16"/>
    </w:rPr>
  </w:style>
  <w:style w:type="paragraph" w:styleId="CommentText">
    <w:name w:val="annotation text"/>
    <w:basedOn w:val="Normal"/>
    <w:link w:val="CommentTextChar"/>
    <w:uiPriority w:val="99"/>
    <w:unhideWhenUsed/>
    <w:rsid w:val="004F5A85"/>
    <w:pPr>
      <w:spacing w:line="240" w:lineRule="auto"/>
    </w:pPr>
    <w:rPr>
      <w:sz w:val="20"/>
      <w:szCs w:val="20"/>
    </w:rPr>
  </w:style>
  <w:style w:type="character" w:customStyle="1" w:styleId="CommentTextChar">
    <w:name w:val="Comment Text Char"/>
    <w:basedOn w:val="DefaultParagraphFont"/>
    <w:link w:val="CommentText"/>
    <w:uiPriority w:val="99"/>
    <w:rsid w:val="004F5A85"/>
    <w:rPr>
      <w:sz w:val="20"/>
      <w:szCs w:val="20"/>
    </w:rPr>
  </w:style>
  <w:style w:type="paragraph" w:styleId="CommentSubject">
    <w:name w:val="annotation subject"/>
    <w:basedOn w:val="CommentText"/>
    <w:next w:val="CommentText"/>
    <w:link w:val="CommentSubjectChar"/>
    <w:uiPriority w:val="99"/>
    <w:semiHidden/>
    <w:unhideWhenUsed/>
    <w:rsid w:val="004F5A85"/>
    <w:rPr>
      <w:b/>
      <w:bCs/>
    </w:rPr>
  </w:style>
  <w:style w:type="character" w:customStyle="1" w:styleId="CommentSubjectChar">
    <w:name w:val="Comment Subject Char"/>
    <w:basedOn w:val="CommentTextChar"/>
    <w:link w:val="CommentSubject"/>
    <w:uiPriority w:val="99"/>
    <w:semiHidden/>
    <w:rsid w:val="004F5A85"/>
    <w:rPr>
      <w:b/>
      <w:bCs/>
      <w:sz w:val="20"/>
      <w:szCs w:val="20"/>
    </w:rPr>
  </w:style>
  <w:style w:type="paragraph" w:styleId="NormalWeb">
    <w:name w:val="Normal (Web)"/>
    <w:basedOn w:val="Normal"/>
    <w:uiPriority w:val="99"/>
    <w:semiHidden/>
    <w:unhideWhenUsed/>
    <w:rsid w:val="00B2472D"/>
    <w:rPr>
      <w:rFonts w:ascii="Times New Roman" w:hAnsi="Times New Roman" w:cs="Times New Roman"/>
    </w:rPr>
  </w:style>
  <w:style w:type="character" w:styleId="Mention">
    <w:name w:val="Mention"/>
    <w:basedOn w:val="DefaultParagraphFont"/>
    <w:uiPriority w:val="99"/>
    <w:unhideWhenUsed/>
    <w:rsid w:val="00330A8A"/>
    <w:rPr>
      <w:color w:val="2B579A"/>
      <w:shd w:val="clear" w:color="auto" w:fill="E1DFDD"/>
    </w:rPr>
  </w:style>
  <w:style w:type="character" w:styleId="Emphasis">
    <w:name w:val="Emphasis"/>
    <w:basedOn w:val="DefaultParagraphFont"/>
    <w:uiPriority w:val="20"/>
    <w:qFormat/>
    <w:rsid w:val="00B92817"/>
    <w:rPr>
      <w:i/>
      <w:iCs/>
    </w:rPr>
  </w:style>
  <w:style w:type="character" w:styleId="SubtleEmphasis">
    <w:name w:val="Subtle Emphasis"/>
    <w:basedOn w:val="DefaultParagraphFont"/>
    <w:uiPriority w:val="19"/>
    <w:qFormat/>
    <w:rsid w:val="0096673C"/>
    <w:rPr>
      <w:i/>
      <w:iCs/>
      <w:color w:val="404040" w:themeColor="text1" w:themeTint="BF"/>
    </w:rPr>
  </w:style>
  <w:style w:type="paragraph" w:styleId="TOCHeading">
    <w:name w:val="TOC Heading"/>
    <w:basedOn w:val="Heading1"/>
    <w:next w:val="Normal"/>
    <w:uiPriority w:val="39"/>
    <w:unhideWhenUsed/>
    <w:qFormat/>
    <w:rsid w:val="00B9699E"/>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B9699E"/>
    <w:pPr>
      <w:spacing w:after="100"/>
    </w:pPr>
  </w:style>
  <w:style w:type="paragraph" w:styleId="TOC2">
    <w:name w:val="toc 2"/>
    <w:basedOn w:val="Normal"/>
    <w:next w:val="Normal"/>
    <w:autoRedefine/>
    <w:uiPriority w:val="39"/>
    <w:unhideWhenUsed/>
    <w:rsid w:val="00B9699E"/>
    <w:pPr>
      <w:spacing w:after="100"/>
      <w:ind w:left="240"/>
    </w:pPr>
  </w:style>
  <w:style w:type="paragraph" w:styleId="TOC3">
    <w:name w:val="toc 3"/>
    <w:basedOn w:val="Normal"/>
    <w:next w:val="Normal"/>
    <w:autoRedefine/>
    <w:uiPriority w:val="39"/>
    <w:unhideWhenUsed/>
    <w:rsid w:val="00B9699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9.png"/></Relationships>
</file>

<file path=word/_rels/footnotes.xml.rels><?xml version="1.0" encoding="UTF-8" standalone="yes"?>
<Relationships xmlns="http://schemas.openxmlformats.org/package/2006/relationships"><Relationship Id="rId8" Type="http://schemas.openxmlformats.org/officeDocument/2006/relationships/hyperlink" Target="https://library.mdba.gov.au/group/sustainable-diversion-limit-assessments-surface-water" TargetMode="External"/><Relationship Id="rId13" Type="http://schemas.openxmlformats.org/officeDocument/2006/relationships/hyperlink" Target="https://www.mdba.gov.au/sites/default/files/publications/constraints-relaxation-implementation-roadmap_0.pdf" TargetMode="External"/><Relationship Id="rId18" Type="http://schemas.openxmlformats.org/officeDocument/2006/relationships/hyperlink" Target="https://www.mdba.gov.au/water-management/basin-plan/basin-plan-evaluations/2025-basin-plan-evaluation" TargetMode="External"/><Relationship Id="rId3" Type="http://schemas.openxmlformats.org/officeDocument/2006/relationships/hyperlink" Target="https://www.pc.gov.au/inquiries-and-research/basin-plan-2023/report/" TargetMode="External"/><Relationship Id="rId7" Type="http://schemas.openxmlformats.org/officeDocument/2006/relationships/hyperlink" Target="https://www.mdba.gov.au/sites/default/files/publications/Initial-Sustainable-Diversion-Limit-Assessments-Summary-of-Assessment-Approach.pdf" TargetMode="External"/><Relationship Id="rId12" Type="http://schemas.openxmlformats.org/officeDocument/2006/relationships/hyperlink" Target="https://www.mdba.gov.au/sites/default/files/publications/constraints-relaxation-implementation-roadmap_0.pdf" TargetMode="External"/><Relationship Id="rId17" Type="http://schemas.openxmlformats.org/officeDocument/2006/relationships/hyperlink" Target="https://www.mdba.gov.au/water-management/basin-plan/basin-plan-evaluations/2025-basin-plan-evaluation" TargetMode="External"/><Relationship Id="rId2" Type="http://schemas.openxmlformats.org/officeDocument/2006/relationships/hyperlink" Target="https://www.mdba.gov.au/sites/default/files/publications/SDL-supply-measure-contribution-comparison-2017-and-2026.pdf" TargetMode="External"/><Relationship Id="rId16" Type="http://schemas.openxmlformats.org/officeDocument/2006/relationships/hyperlink" Target="https://www.mdba.gov.au/sites/default/files/publications/sustainable-diversion-limit-adjustment-mechanism-reconciliation-framework-dec-2024.pdf" TargetMode="External"/><Relationship Id="rId1" Type="http://schemas.openxmlformats.org/officeDocument/2006/relationships/hyperlink" Target="https://www.mdba.gov.au/publications-and-data/publications/2026-sdlam-draft-determination" TargetMode="External"/><Relationship Id="rId6" Type="http://schemas.openxmlformats.org/officeDocument/2006/relationships/hyperlink" Target="https://www.irrigators.org.au/policy/murray-darling-basin-plan/2026-basin-plan-review/moving-forward-our-review-of-the-murray-darling-basin-plan/" TargetMode="External"/><Relationship Id="rId11" Type="http://schemas.openxmlformats.org/officeDocument/2006/relationships/hyperlink" Target="https://www.environment.sa.gov.au/topics/water-and-river-murray/basin-river-murray-lakes-and-the-coorong/water-for-the-environment/watering-amounts-and-entitlements" TargetMode="External"/><Relationship Id="rId5" Type="http://schemas.openxmlformats.org/officeDocument/2006/relationships/hyperlink" Target="https://parlinfo.aph.gov.au/parlInfo/search/display/display.w3p;query=Id%3A%22legislation%2Fems%2Fr4884_ems_49b5e481-5275-482e-8c1d-be6607f4c67a%22" TargetMode="External"/><Relationship Id="rId15" Type="http://schemas.openxmlformats.org/officeDocument/2006/relationships/hyperlink" Target="https://www.mdba.gov.au/sites/default/files/publications/intergovernmental-agreement-on-implementing-water-reform-in-the-murray-darling-basin-2013_2.pdf" TargetMode="External"/><Relationship Id="rId10" Type="http://schemas.openxmlformats.org/officeDocument/2006/relationships/hyperlink" Target="https://library.mdba.gov.au/group/sustainable-diversion-limit-assessments-surface-water" TargetMode="External"/><Relationship Id="rId4" Type="http://schemas.openxmlformats.org/officeDocument/2006/relationships/hyperlink" Target="https://parlinfo.aph.gov.au/parlInfo/search/display/display.w3p;query=Id%3A%22chamber%2Fhansardr%2Fa0c9c3b1-a08d-42ca-995d-7f4622b624e7%2F0009%22" TargetMode="External"/><Relationship Id="rId9" Type="http://schemas.openxmlformats.org/officeDocument/2006/relationships/hyperlink" Target="https://www.mdba.gov.au/sites/default/files/publications/2023-2024-sdl-accounts-registers-of-take-report.pdf" TargetMode="External"/><Relationship Id="rId14" Type="http://schemas.openxmlformats.org/officeDocument/2006/relationships/hyperlink" Target="https://www.mdba.gov.au/sites/default/files/publications/sustainable-diversion-limit-adjustment-mechanism-reconciliation-framework-dec-2024.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Percetange of themes in surface</a:t>
            </a:r>
            <a:r>
              <a:rPr lang="en-US" baseline="0"/>
              <a:t> water source with a changed outcome from LoE1 to LoE2</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9B7-443F-9009-A77EDBF20C11}"/>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59B7-443F-9009-A77EDBF20C11}"/>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Sheet1!$A$2:$A$3</c:f>
              <c:strCache>
                <c:ptCount val="2"/>
                <c:pt idx="0">
                  <c:v>Change</c:v>
                </c:pt>
                <c:pt idx="1">
                  <c:v>No change</c:v>
                </c:pt>
              </c:strCache>
            </c:strRef>
          </c:cat>
          <c:val>
            <c:numRef>
              <c:f>Sheet1!$B$2:$B$3</c:f>
              <c:numCache>
                <c:formatCode>General</c:formatCode>
                <c:ptCount val="2"/>
                <c:pt idx="0">
                  <c:v>8</c:v>
                </c:pt>
                <c:pt idx="1">
                  <c:v>92</c:v>
                </c:pt>
              </c:numCache>
            </c:numRef>
          </c:val>
          <c:extLst>
            <c:ext xmlns:c16="http://schemas.microsoft.com/office/drawing/2014/chart" uri="{C3380CC4-5D6E-409C-BE32-E72D297353CC}">
              <c16:uniqueId val="{00000004-59B7-443F-9009-A77EDBF20C11}"/>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2B82"/>
      </a:dk2>
      <a:lt2>
        <a:srgbClr val="E2DFCC"/>
      </a:lt2>
      <a:accent1>
        <a:srgbClr val="0070C0"/>
      </a:accent1>
      <a:accent2>
        <a:srgbClr val="002060"/>
      </a:accent2>
      <a:accent3>
        <a:srgbClr val="37A76F"/>
      </a:accent3>
      <a:accent4>
        <a:srgbClr val="44C1A3"/>
      </a:accent4>
      <a:accent5>
        <a:srgbClr val="4EB3CF"/>
      </a:accent5>
      <a:accent6>
        <a:srgbClr val="002B82"/>
      </a:accent6>
      <a:hlink>
        <a:srgbClr val="EE7B08"/>
      </a:hlink>
      <a:folHlink>
        <a:srgbClr val="977B2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2026</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5A1E11612CF340B16C95BCD3006626" ma:contentTypeVersion="18" ma:contentTypeDescription="Create a new document." ma:contentTypeScope="" ma:versionID="83da811c9e8e7e25b95c1da7c40ef9fc">
  <xsd:schema xmlns:xsd="http://www.w3.org/2001/XMLSchema" xmlns:xs="http://www.w3.org/2001/XMLSchema" xmlns:p="http://schemas.microsoft.com/office/2006/metadata/properties" xmlns:ns2="05a78c0f-a504-4649-88c9-b794f6403e85" xmlns:ns3="e809dcb9-122b-4a07-9542-d31a68380e93" targetNamespace="http://schemas.microsoft.com/office/2006/metadata/properties" ma:root="true" ma:fieldsID="88e9ae26ff635026e13bb1c43b027d4d" ns2:_="" ns3:_="">
    <xsd:import namespace="05a78c0f-a504-4649-88c9-b794f6403e85"/>
    <xsd:import namespace="e809dcb9-122b-4a07-9542-d31a68380e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78c0f-a504-4649-88c9-b794f6403e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d9da494-2820-463f-b5b3-52c4182aea95}" ma:internalName="TaxCatchAll" ma:showField="CatchAllData" ma:web="05a78c0f-a504-4649-88c9-b794f6403e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09dcb9-122b-4a07-9542-d31a68380e9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8bf22c-45f6-4dbd-b812-cdd956b022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5a78c0f-a504-4649-88c9-b794f6403e85" xsi:nil="true"/>
    <lcf76f155ced4ddcb4097134ff3c332f xmlns="e809dcb9-122b-4a07-9542-d31a68380e93">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8117AD-0240-40EE-8703-A6837E321774}">
  <ds:schemaRefs>
    <ds:schemaRef ds:uri="http://schemas.microsoft.com/sharepoint/v3/contenttype/forms"/>
  </ds:schemaRefs>
</ds:datastoreItem>
</file>

<file path=customXml/itemProps3.xml><?xml version="1.0" encoding="utf-8"?>
<ds:datastoreItem xmlns:ds="http://schemas.openxmlformats.org/officeDocument/2006/customXml" ds:itemID="{13712EB5-88ED-4C9A-93F0-44A1CDC30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78c0f-a504-4649-88c9-b794f6403e85"/>
    <ds:schemaRef ds:uri="e809dcb9-122b-4a07-9542-d31a68380e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5B00C3-43A2-4D42-B7A1-A39AAE4B8E74}">
  <ds:schemaRefs>
    <ds:schemaRef ds:uri="http://schemas.microsoft.com/office/2006/metadata/properties"/>
    <ds:schemaRef ds:uri="http://schemas.microsoft.com/office/infopath/2007/PartnerControls"/>
    <ds:schemaRef ds:uri="05a78c0f-a504-4649-88c9-b794f6403e85"/>
    <ds:schemaRef ds:uri="e809dcb9-122b-4a07-9542-d31a68380e93"/>
  </ds:schemaRefs>
</ds:datastoreItem>
</file>

<file path=customXml/itemProps5.xml><?xml version="1.0" encoding="utf-8"?>
<ds:datastoreItem xmlns:ds="http://schemas.openxmlformats.org/officeDocument/2006/customXml" ds:itemID="{529B6ED4-8B1B-4853-8659-C1BA98A49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2044</TotalTime>
  <Pages>1</Pages>
  <Words>8561</Words>
  <Characters>46491</Characters>
  <Application>Microsoft Office Word</Application>
  <DocSecurity>4</DocSecurity>
  <Lines>948</Lines>
  <Paragraphs>382</Paragraphs>
  <ScaleCrop>false</ScaleCrop>
  <HeadingPairs>
    <vt:vector size="2" baseType="variant">
      <vt:variant>
        <vt:lpstr>Title</vt:lpstr>
      </vt:variant>
      <vt:variant>
        <vt:i4>1</vt:i4>
      </vt:variant>
    </vt:vector>
  </HeadingPairs>
  <TitlesOfParts>
    <vt:vector size="1" baseType="lpstr">
      <vt:lpstr>The Water Balance</vt:lpstr>
    </vt:vector>
  </TitlesOfParts>
  <Company>October</Company>
  <LinksUpToDate>false</LinksUpToDate>
  <CharactersWithSpaces>54670</CharactersWithSpaces>
  <SharedDoc>false</SharedDoc>
  <HLinks>
    <vt:vector size="258" baseType="variant">
      <vt:variant>
        <vt:i4>1245238</vt:i4>
      </vt:variant>
      <vt:variant>
        <vt:i4>146</vt:i4>
      </vt:variant>
      <vt:variant>
        <vt:i4>0</vt:i4>
      </vt:variant>
      <vt:variant>
        <vt:i4>5</vt:i4>
      </vt:variant>
      <vt:variant>
        <vt:lpwstr/>
      </vt:variant>
      <vt:variant>
        <vt:lpwstr>_Toc243660167</vt:lpwstr>
      </vt:variant>
      <vt:variant>
        <vt:i4>1245238</vt:i4>
      </vt:variant>
      <vt:variant>
        <vt:i4>140</vt:i4>
      </vt:variant>
      <vt:variant>
        <vt:i4>0</vt:i4>
      </vt:variant>
      <vt:variant>
        <vt:i4>5</vt:i4>
      </vt:variant>
      <vt:variant>
        <vt:lpwstr/>
      </vt:variant>
      <vt:variant>
        <vt:lpwstr>_Toc243660166</vt:lpwstr>
      </vt:variant>
      <vt:variant>
        <vt:i4>1245238</vt:i4>
      </vt:variant>
      <vt:variant>
        <vt:i4>134</vt:i4>
      </vt:variant>
      <vt:variant>
        <vt:i4>0</vt:i4>
      </vt:variant>
      <vt:variant>
        <vt:i4>5</vt:i4>
      </vt:variant>
      <vt:variant>
        <vt:lpwstr/>
      </vt:variant>
      <vt:variant>
        <vt:lpwstr>_Toc243660165</vt:lpwstr>
      </vt:variant>
      <vt:variant>
        <vt:i4>1245238</vt:i4>
      </vt:variant>
      <vt:variant>
        <vt:i4>128</vt:i4>
      </vt:variant>
      <vt:variant>
        <vt:i4>0</vt:i4>
      </vt:variant>
      <vt:variant>
        <vt:i4>5</vt:i4>
      </vt:variant>
      <vt:variant>
        <vt:lpwstr/>
      </vt:variant>
      <vt:variant>
        <vt:lpwstr>_Toc243660164</vt:lpwstr>
      </vt:variant>
      <vt:variant>
        <vt:i4>1245238</vt:i4>
      </vt:variant>
      <vt:variant>
        <vt:i4>122</vt:i4>
      </vt:variant>
      <vt:variant>
        <vt:i4>0</vt:i4>
      </vt:variant>
      <vt:variant>
        <vt:i4>5</vt:i4>
      </vt:variant>
      <vt:variant>
        <vt:lpwstr/>
      </vt:variant>
      <vt:variant>
        <vt:lpwstr>_Toc243660163</vt:lpwstr>
      </vt:variant>
      <vt:variant>
        <vt:i4>1245238</vt:i4>
      </vt:variant>
      <vt:variant>
        <vt:i4>116</vt:i4>
      </vt:variant>
      <vt:variant>
        <vt:i4>0</vt:i4>
      </vt:variant>
      <vt:variant>
        <vt:i4>5</vt:i4>
      </vt:variant>
      <vt:variant>
        <vt:lpwstr/>
      </vt:variant>
      <vt:variant>
        <vt:lpwstr>_Toc243660162</vt:lpwstr>
      </vt:variant>
      <vt:variant>
        <vt:i4>1245238</vt:i4>
      </vt:variant>
      <vt:variant>
        <vt:i4>110</vt:i4>
      </vt:variant>
      <vt:variant>
        <vt:i4>0</vt:i4>
      </vt:variant>
      <vt:variant>
        <vt:i4>5</vt:i4>
      </vt:variant>
      <vt:variant>
        <vt:lpwstr/>
      </vt:variant>
      <vt:variant>
        <vt:lpwstr>_Toc243660161</vt:lpwstr>
      </vt:variant>
      <vt:variant>
        <vt:i4>1245238</vt:i4>
      </vt:variant>
      <vt:variant>
        <vt:i4>104</vt:i4>
      </vt:variant>
      <vt:variant>
        <vt:i4>0</vt:i4>
      </vt:variant>
      <vt:variant>
        <vt:i4>5</vt:i4>
      </vt:variant>
      <vt:variant>
        <vt:lpwstr/>
      </vt:variant>
      <vt:variant>
        <vt:lpwstr>_Toc243660160</vt:lpwstr>
      </vt:variant>
      <vt:variant>
        <vt:i4>1048630</vt:i4>
      </vt:variant>
      <vt:variant>
        <vt:i4>98</vt:i4>
      </vt:variant>
      <vt:variant>
        <vt:i4>0</vt:i4>
      </vt:variant>
      <vt:variant>
        <vt:i4>5</vt:i4>
      </vt:variant>
      <vt:variant>
        <vt:lpwstr/>
      </vt:variant>
      <vt:variant>
        <vt:lpwstr>_Toc243660159</vt:lpwstr>
      </vt:variant>
      <vt:variant>
        <vt:i4>1048630</vt:i4>
      </vt:variant>
      <vt:variant>
        <vt:i4>92</vt:i4>
      </vt:variant>
      <vt:variant>
        <vt:i4>0</vt:i4>
      </vt:variant>
      <vt:variant>
        <vt:i4>5</vt:i4>
      </vt:variant>
      <vt:variant>
        <vt:lpwstr/>
      </vt:variant>
      <vt:variant>
        <vt:lpwstr>_Toc243660158</vt:lpwstr>
      </vt:variant>
      <vt:variant>
        <vt:i4>1048630</vt:i4>
      </vt:variant>
      <vt:variant>
        <vt:i4>86</vt:i4>
      </vt:variant>
      <vt:variant>
        <vt:i4>0</vt:i4>
      </vt:variant>
      <vt:variant>
        <vt:i4>5</vt:i4>
      </vt:variant>
      <vt:variant>
        <vt:lpwstr/>
      </vt:variant>
      <vt:variant>
        <vt:lpwstr>_Toc243660157</vt:lpwstr>
      </vt:variant>
      <vt:variant>
        <vt:i4>1048630</vt:i4>
      </vt:variant>
      <vt:variant>
        <vt:i4>80</vt:i4>
      </vt:variant>
      <vt:variant>
        <vt:i4>0</vt:i4>
      </vt:variant>
      <vt:variant>
        <vt:i4>5</vt:i4>
      </vt:variant>
      <vt:variant>
        <vt:lpwstr/>
      </vt:variant>
      <vt:variant>
        <vt:lpwstr>_Toc243660156</vt:lpwstr>
      </vt:variant>
      <vt:variant>
        <vt:i4>1048630</vt:i4>
      </vt:variant>
      <vt:variant>
        <vt:i4>74</vt:i4>
      </vt:variant>
      <vt:variant>
        <vt:i4>0</vt:i4>
      </vt:variant>
      <vt:variant>
        <vt:i4>5</vt:i4>
      </vt:variant>
      <vt:variant>
        <vt:lpwstr/>
      </vt:variant>
      <vt:variant>
        <vt:lpwstr>_Toc243660155</vt:lpwstr>
      </vt:variant>
      <vt:variant>
        <vt:i4>1048630</vt:i4>
      </vt:variant>
      <vt:variant>
        <vt:i4>68</vt:i4>
      </vt:variant>
      <vt:variant>
        <vt:i4>0</vt:i4>
      </vt:variant>
      <vt:variant>
        <vt:i4>5</vt:i4>
      </vt:variant>
      <vt:variant>
        <vt:lpwstr/>
      </vt:variant>
      <vt:variant>
        <vt:lpwstr>_Toc243660154</vt:lpwstr>
      </vt:variant>
      <vt:variant>
        <vt:i4>1048630</vt:i4>
      </vt:variant>
      <vt:variant>
        <vt:i4>62</vt:i4>
      </vt:variant>
      <vt:variant>
        <vt:i4>0</vt:i4>
      </vt:variant>
      <vt:variant>
        <vt:i4>5</vt:i4>
      </vt:variant>
      <vt:variant>
        <vt:lpwstr/>
      </vt:variant>
      <vt:variant>
        <vt:lpwstr>_Toc243660153</vt:lpwstr>
      </vt:variant>
      <vt:variant>
        <vt:i4>1048630</vt:i4>
      </vt:variant>
      <vt:variant>
        <vt:i4>56</vt:i4>
      </vt:variant>
      <vt:variant>
        <vt:i4>0</vt:i4>
      </vt:variant>
      <vt:variant>
        <vt:i4>5</vt:i4>
      </vt:variant>
      <vt:variant>
        <vt:lpwstr/>
      </vt:variant>
      <vt:variant>
        <vt:lpwstr>_Toc243660152</vt:lpwstr>
      </vt:variant>
      <vt:variant>
        <vt:i4>1048630</vt:i4>
      </vt:variant>
      <vt:variant>
        <vt:i4>50</vt:i4>
      </vt:variant>
      <vt:variant>
        <vt:i4>0</vt:i4>
      </vt:variant>
      <vt:variant>
        <vt:i4>5</vt:i4>
      </vt:variant>
      <vt:variant>
        <vt:lpwstr/>
      </vt:variant>
      <vt:variant>
        <vt:lpwstr>_Toc243660151</vt:lpwstr>
      </vt:variant>
      <vt:variant>
        <vt:i4>1048630</vt:i4>
      </vt:variant>
      <vt:variant>
        <vt:i4>44</vt:i4>
      </vt:variant>
      <vt:variant>
        <vt:i4>0</vt:i4>
      </vt:variant>
      <vt:variant>
        <vt:i4>5</vt:i4>
      </vt:variant>
      <vt:variant>
        <vt:lpwstr/>
      </vt:variant>
      <vt:variant>
        <vt:lpwstr>_Toc243660150</vt:lpwstr>
      </vt:variant>
      <vt:variant>
        <vt:i4>1114166</vt:i4>
      </vt:variant>
      <vt:variant>
        <vt:i4>38</vt:i4>
      </vt:variant>
      <vt:variant>
        <vt:i4>0</vt:i4>
      </vt:variant>
      <vt:variant>
        <vt:i4>5</vt:i4>
      </vt:variant>
      <vt:variant>
        <vt:lpwstr/>
      </vt:variant>
      <vt:variant>
        <vt:lpwstr>_Toc243660149</vt:lpwstr>
      </vt:variant>
      <vt:variant>
        <vt:i4>1114166</vt:i4>
      </vt:variant>
      <vt:variant>
        <vt:i4>32</vt:i4>
      </vt:variant>
      <vt:variant>
        <vt:i4>0</vt:i4>
      </vt:variant>
      <vt:variant>
        <vt:i4>5</vt:i4>
      </vt:variant>
      <vt:variant>
        <vt:lpwstr/>
      </vt:variant>
      <vt:variant>
        <vt:lpwstr>_Toc243660148</vt:lpwstr>
      </vt:variant>
      <vt:variant>
        <vt:i4>1114166</vt:i4>
      </vt:variant>
      <vt:variant>
        <vt:i4>26</vt:i4>
      </vt:variant>
      <vt:variant>
        <vt:i4>0</vt:i4>
      </vt:variant>
      <vt:variant>
        <vt:i4>5</vt:i4>
      </vt:variant>
      <vt:variant>
        <vt:lpwstr/>
      </vt:variant>
      <vt:variant>
        <vt:lpwstr>_Toc243660147</vt:lpwstr>
      </vt:variant>
      <vt:variant>
        <vt:i4>1114166</vt:i4>
      </vt:variant>
      <vt:variant>
        <vt:i4>20</vt:i4>
      </vt:variant>
      <vt:variant>
        <vt:i4>0</vt:i4>
      </vt:variant>
      <vt:variant>
        <vt:i4>5</vt:i4>
      </vt:variant>
      <vt:variant>
        <vt:lpwstr/>
      </vt:variant>
      <vt:variant>
        <vt:lpwstr>_Toc243660146</vt:lpwstr>
      </vt:variant>
      <vt:variant>
        <vt:i4>1114166</vt:i4>
      </vt:variant>
      <vt:variant>
        <vt:i4>14</vt:i4>
      </vt:variant>
      <vt:variant>
        <vt:i4>0</vt:i4>
      </vt:variant>
      <vt:variant>
        <vt:i4>5</vt:i4>
      </vt:variant>
      <vt:variant>
        <vt:lpwstr/>
      </vt:variant>
      <vt:variant>
        <vt:lpwstr>_Toc243660145</vt:lpwstr>
      </vt:variant>
      <vt:variant>
        <vt:i4>1114166</vt:i4>
      </vt:variant>
      <vt:variant>
        <vt:i4>8</vt:i4>
      </vt:variant>
      <vt:variant>
        <vt:i4>0</vt:i4>
      </vt:variant>
      <vt:variant>
        <vt:i4>5</vt:i4>
      </vt:variant>
      <vt:variant>
        <vt:lpwstr/>
      </vt:variant>
      <vt:variant>
        <vt:lpwstr>_Toc243660144</vt:lpwstr>
      </vt:variant>
      <vt:variant>
        <vt:i4>1114166</vt:i4>
      </vt:variant>
      <vt:variant>
        <vt:i4>2</vt:i4>
      </vt:variant>
      <vt:variant>
        <vt:i4>0</vt:i4>
      </vt:variant>
      <vt:variant>
        <vt:i4>5</vt:i4>
      </vt:variant>
      <vt:variant>
        <vt:lpwstr/>
      </vt:variant>
      <vt:variant>
        <vt:lpwstr>_Toc243660143</vt:lpwstr>
      </vt:variant>
      <vt:variant>
        <vt:i4>5242895</vt:i4>
      </vt:variant>
      <vt:variant>
        <vt:i4>51</vt:i4>
      </vt:variant>
      <vt:variant>
        <vt:i4>0</vt:i4>
      </vt:variant>
      <vt:variant>
        <vt:i4>5</vt:i4>
      </vt:variant>
      <vt:variant>
        <vt:lpwstr>https://www.mdba.gov.au/water-management/basin-plan/basin-plan-evaluations/2025-basin-plan-evaluation</vt:lpwstr>
      </vt:variant>
      <vt:variant>
        <vt:lpwstr/>
      </vt:variant>
      <vt:variant>
        <vt:i4>5242895</vt:i4>
      </vt:variant>
      <vt:variant>
        <vt:i4>48</vt:i4>
      </vt:variant>
      <vt:variant>
        <vt:i4>0</vt:i4>
      </vt:variant>
      <vt:variant>
        <vt:i4>5</vt:i4>
      </vt:variant>
      <vt:variant>
        <vt:lpwstr>https://www.mdba.gov.au/water-management/basin-plan/basin-plan-evaluations/2025-basin-plan-evaluation</vt:lpwstr>
      </vt:variant>
      <vt:variant>
        <vt:lpwstr/>
      </vt:variant>
      <vt:variant>
        <vt:i4>8257644</vt:i4>
      </vt:variant>
      <vt:variant>
        <vt:i4>45</vt:i4>
      </vt:variant>
      <vt:variant>
        <vt:i4>0</vt:i4>
      </vt:variant>
      <vt:variant>
        <vt:i4>5</vt:i4>
      </vt:variant>
      <vt:variant>
        <vt:lpwstr>https://www.mdba.gov.au/sites/default/files/publications/sustainable-diversion-limit-adjustment-mechanism-reconciliation-framework-dec-2024.pdf</vt:lpwstr>
      </vt:variant>
      <vt:variant>
        <vt:lpwstr/>
      </vt:variant>
      <vt:variant>
        <vt:i4>4325474</vt:i4>
      </vt:variant>
      <vt:variant>
        <vt:i4>42</vt:i4>
      </vt:variant>
      <vt:variant>
        <vt:i4>0</vt:i4>
      </vt:variant>
      <vt:variant>
        <vt:i4>5</vt:i4>
      </vt:variant>
      <vt:variant>
        <vt:lpwstr>https://www.mdba.gov.au/sites/default/files/publications/intergovernmental-agreement-on-implementing-water-reform-in-the-murray-darling-basin-2013_2.pdf</vt:lpwstr>
      </vt:variant>
      <vt:variant>
        <vt:lpwstr/>
      </vt:variant>
      <vt:variant>
        <vt:i4>8257644</vt:i4>
      </vt:variant>
      <vt:variant>
        <vt:i4>39</vt:i4>
      </vt:variant>
      <vt:variant>
        <vt:i4>0</vt:i4>
      </vt:variant>
      <vt:variant>
        <vt:i4>5</vt:i4>
      </vt:variant>
      <vt:variant>
        <vt:lpwstr>https://www.mdba.gov.au/sites/default/files/publications/sustainable-diversion-limit-adjustment-mechanism-reconciliation-framework-dec-2024.pdf</vt:lpwstr>
      </vt:variant>
      <vt:variant>
        <vt:lpwstr/>
      </vt:variant>
      <vt:variant>
        <vt:i4>6160497</vt:i4>
      </vt:variant>
      <vt:variant>
        <vt:i4>36</vt:i4>
      </vt:variant>
      <vt:variant>
        <vt:i4>0</vt:i4>
      </vt:variant>
      <vt:variant>
        <vt:i4>5</vt:i4>
      </vt:variant>
      <vt:variant>
        <vt:lpwstr>https://www.mdba.gov.au/sites/default/files/publications/constraints-relaxation-implementation-roadmap_0.pdf</vt:lpwstr>
      </vt:variant>
      <vt:variant>
        <vt:lpwstr/>
      </vt:variant>
      <vt:variant>
        <vt:i4>6160497</vt:i4>
      </vt:variant>
      <vt:variant>
        <vt:i4>33</vt:i4>
      </vt:variant>
      <vt:variant>
        <vt:i4>0</vt:i4>
      </vt:variant>
      <vt:variant>
        <vt:i4>5</vt:i4>
      </vt:variant>
      <vt:variant>
        <vt:lpwstr>https://www.mdba.gov.au/sites/default/files/publications/constraints-relaxation-implementation-roadmap_0.pdf</vt:lpwstr>
      </vt:variant>
      <vt:variant>
        <vt:lpwstr/>
      </vt:variant>
      <vt:variant>
        <vt:i4>2424872</vt:i4>
      </vt:variant>
      <vt:variant>
        <vt:i4>30</vt:i4>
      </vt:variant>
      <vt:variant>
        <vt:i4>0</vt:i4>
      </vt:variant>
      <vt:variant>
        <vt:i4>5</vt:i4>
      </vt:variant>
      <vt:variant>
        <vt:lpwstr>https://www.environment.sa.gov.au/topics/water-and-river-murray/basin-river-murray-lakes-and-the-coorong/water-for-the-environment/watering-amounts-and-entitlements</vt:lpwstr>
      </vt:variant>
      <vt:variant>
        <vt:lpwstr>:~:text=Held%20Environmental%20Water%20(HEW),on%20the%20MyWater%20Water%20Register.</vt:lpwstr>
      </vt:variant>
      <vt:variant>
        <vt:i4>8126518</vt:i4>
      </vt:variant>
      <vt:variant>
        <vt:i4>27</vt:i4>
      </vt:variant>
      <vt:variant>
        <vt:i4>0</vt:i4>
      </vt:variant>
      <vt:variant>
        <vt:i4>5</vt:i4>
      </vt:variant>
      <vt:variant>
        <vt:lpwstr>https://library.mdba.gov.au/group/sustainable-diversion-limit-assessments-surface-water</vt:lpwstr>
      </vt:variant>
      <vt:variant>
        <vt:lpwstr/>
      </vt:variant>
      <vt:variant>
        <vt:i4>4456467</vt:i4>
      </vt:variant>
      <vt:variant>
        <vt:i4>24</vt:i4>
      </vt:variant>
      <vt:variant>
        <vt:i4>0</vt:i4>
      </vt:variant>
      <vt:variant>
        <vt:i4>5</vt:i4>
      </vt:variant>
      <vt:variant>
        <vt:lpwstr>https://www.mdba.gov.au/sites/default/files/publications/2023-2024-sdl-accounts-registers-of-take-report.pdf</vt:lpwstr>
      </vt:variant>
      <vt:variant>
        <vt:lpwstr/>
      </vt:variant>
      <vt:variant>
        <vt:i4>8126518</vt:i4>
      </vt:variant>
      <vt:variant>
        <vt:i4>21</vt:i4>
      </vt:variant>
      <vt:variant>
        <vt:i4>0</vt:i4>
      </vt:variant>
      <vt:variant>
        <vt:i4>5</vt:i4>
      </vt:variant>
      <vt:variant>
        <vt:lpwstr>https://library.mdba.gov.au/group/sustainable-diversion-limit-assessments-surface-water</vt:lpwstr>
      </vt:variant>
      <vt:variant>
        <vt:lpwstr/>
      </vt:variant>
      <vt:variant>
        <vt:i4>3014699</vt:i4>
      </vt:variant>
      <vt:variant>
        <vt:i4>18</vt:i4>
      </vt:variant>
      <vt:variant>
        <vt:i4>0</vt:i4>
      </vt:variant>
      <vt:variant>
        <vt:i4>5</vt:i4>
      </vt:variant>
      <vt:variant>
        <vt:lpwstr>https://www.mdba.gov.au/sites/default/files/publications/Initial-Sustainable-Diversion-Limit-Assessments-Summary-of-Assessment-Approach.pdf</vt:lpwstr>
      </vt:variant>
      <vt:variant>
        <vt:lpwstr/>
      </vt:variant>
      <vt:variant>
        <vt:i4>327751</vt:i4>
      </vt:variant>
      <vt:variant>
        <vt:i4>15</vt:i4>
      </vt:variant>
      <vt:variant>
        <vt:i4>0</vt:i4>
      </vt:variant>
      <vt:variant>
        <vt:i4>5</vt:i4>
      </vt:variant>
      <vt:variant>
        <vt:lpwstr>https://www.irrigators.org.au/policy/murray-darling-basin-plan/2026-basin-plan-review/moving-forward-our-review-of-the-murray-darling-basin-plan/</vt:lpwstr>
      </vt:variant>
      <vt:variant>
        <vt:lpwstr/>
      </vt:variant>
      <vt:variant>
        <vt:i4>7798847</vt:i4>
      </vt:variant>
      <vt:variant>
        <vt:i4>12</vt:i4>
      </vt:variant>
      <vt:variant>
        <vt:i4>0</vt:i4>
      </vt:variant>
      <vt:variant>
        <vt:i4>5</vt:i4>
      </vt:variant>
      <vt:variant>
        <vt:lpwstr>https://parlinfo.aph.gov.au/parlInfo/search/display/display.w3p;query=Id%3A%22legislation%2Fems%2Fr4884_ems_49b5e481-5275-482e-8c1d-be6607f4c67a%22</vt:lpwstr>
      </vt:variant>
      <vt:variant>
        <vt:lpwstr/>
      </vt:variant>
      <vt:variant>
        <vt:i4>4718604</vt:i4>
      </vt:variant>
      <vt:variant>
        <vt:i4>9</vt:i4>
      </vt:variant>
      <vt:variant>
        <vt:i4>0</vt:i4>
      </vt:variant>
      <vt:variant>
        <vt:i4>5</vt:i4>
      </vt:variant>
      <vt:variant>
        <vt:lpwstr>https://parlinfo.aph.gov.au/parlInfo/search/display/display.w3p;query=Id%3A%22chamber%2Fhansardr%2Fa0c9c3b1-a08d-42ca-995d-7f4622b624e7%2F0009%22</vt:lpwstr>
      </vt:variant>
      <vt:variant>
        <vt:lpwstr/>
      </vt:variant>
      <vt:variant>
        <vt:i4>1245214</vt:i4>
      </vt:variant>
      <vt:variant>
        <vt:i4>6</vt:i4>
      </vt:variant>
      <vt:variant>
        <vt:i4>0</vt:i4>
      </vt:variant>
      <vt:variant>
        <vt:i4>5</vt:i4>
      </vt:variant>
      <vt:variant>
        <vt:lpwstr>https://www.pc.gov.au/inquiries-and-research/basin-plan-2023/report/</vt:lpwstr>
      </vt:variant>
      <vt:variant>
        <vt:lpwstr/>
      </vt:variant>
      <vt:variant>
        <vt:i4>6225920</vt:i4>
      </vt:variant>
      <vt:variant>
        <vt:i4>3</vt:i4>
      </vt:variant>
      <vt:variant>
        <vt:i4>0</vt:i4>
      </vt:variant>
      <vt:variant>
        <vt:i4>5</vt:i4>
      </vt:variant>
      <vt:variant>
        <vt:lpwstr>https://www.mdba.gov.au/sites/default/files/publications/SDL-supply-measure-contribution-comparison-2017-and-2026.pdf</vt:lpwstr>
      </vt:variant>
      <vt:variant>
        <vt:lpwstr/>
      </vt:variant>
      <vt:variant>
        <vt:i4>786450</vt:i4>
      </vt:variant>
      <vt:variant>
        <vt:i4>0</vt:i4>
      </vt:variant>
      <vt:variant>
        <vt:i4>0</vt:i4>
      </vt:variant>
      <vt:variant>
        <vt:i4>5</vt:i4>
      </vt:variant>
      <vt:variant>
        <vt:lpwstr>https://www.mdba.gov.au/publications-and-data/publications/2026-sdlam-draft-determination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dc:title>
  <dc:subject>SDL Adjustment Mechanism Draft Determination</dc:subject>
  <dc:creator>National Irrigators’ Council</dc:creator>
  <cp:keywords/>
  <dc:description/>
  <cp:lastModifiedBy>Christine  Freak</cp:lastModifiedBy>
  <cp:revision>1688</cp:revision>
  <dcterms:created xsi:type="dcterms:W3CDTF">2026-09-30T20:27:00Z</dcterms:created>
  <dcterms:modified xsi:type="dcterms:W3CDTF">2026-10-23T08:11:00Z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0x010100585A1E11612CF340B16C95BCD3006626</vt:lpwstr>
  </property>
  <property fmtid="{D5CDD505-2E9C-101B-9397-08002B2CF9AE}" pid="3" name="MediaServiceImageTags">
    <vt:lpwstr/>
  </property>
</Properties>
</file>