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66802687"/>
        <w:docPartObj>
          <w:docPartGallery w:val="Cover Pages"/>
          <w:docPartUnique/>
        </w:docPartObj>
      </w:sdtPr>
      <w:sdtEndPr/>
      <w:sdtContent>
        <w:p w14:paraId="45DBAAE5" w14:textId="1B9BA7AE" w:rsidR="00ED1A0F" w:rsidRDefault="00ED1A0F">
          <w:r>
            <w:rPr>
              <w:noProof/>
            </w:rPr>
            <mc:AlternateContent>
              <mc:Choice Requires="wpg">
                <w:drawing>
                  <wp:anchor distT="0" distB="0" distL="114300" distR="114300" simplePos="0" relativeHeight="251658243" behindDoc="0" locked="0" layoutInCell="1" allowOverlap="1" wp14:anchorId="1737F08E" wp14:editId="5814378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22AAEB" id="Group 157"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31E29493" wp14:editId="3D7C8206">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ABAF3" w14:textId="37E39F33" w:rsidR="00ED1A0F" w:rsidRDefault="00386BCA">
                                <w:pPr>
                                  <w:pStyle w:val="NoSpacing"/>
                                  <w:jc w:val="right"/>
                                  <w:rPr>
                                    <w:color w:val="156082" w:themeColor="accent1"/>
                                    <w:sz w:val="28"/>
                                    <w:szCs w:val="28"/>
                                  </w:rPr>
                                </w:pPr>
                                <w:r>
                                  <w:rPr>
                                    <w:color w:val="156082" w:themeColor="accent1"/>
                                    <w:sz w:val="28"/>
                                    <w:szCs w:val="28"/>
                                  </w:rPr>
                                  <w:t>February 2026</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492E40D" w14:textId="0A617013" w:rsidR="00ED1A0F" w:rsidRDefault="00386BCA">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1E29493" id="_x0000_t202" coordsize="21600,21600" o:spt="202" path="m,l,21600r21600,l21600,xe">
                    <v:stroke joinstyle="miter"/>
                    <v:path gradientshapeok="t" o:connecttype="rect"/>
                  </v:shapetype>
                  <v:shape id="Text Box 161" o:spid="_x0000_s1026"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76ABAF3" w14:textId="37E39F33" w:rsidR="00ED1A0F" w:rsidRDefault="00386BCA">
                          <w:pPr>
                            <w:pStyle w:val="NoSpacing"/>
                            <w:jc w:val="right"/>
                            <w:rPr>
                              <w:color w:val="156082" w:themeColor="accent1"/>
                              <w:sz w:val="28"/>
                              <w:szCs w:val="28"/>
                            </w:rPr>
                          </w:pPr>
                          <w:r>
                            <w:rPr>
                              <w:color w:val="156082" w:themeColor="accent1"/>
                              <w:sz w:val="28"/>
                              <w:szCs w:val="28"/>
                            </w:rPr>
                            <w:t>February 2026</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492E40D" w14:textId="0A617013" w:rsidR="00ED1A0F" w:rsidRDefault="00386BCA">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ED6F548" wp14:editId="178CD67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09FF7" w14:textId="037C4483" w:rsidR="00ED1A0F" w:rsidRDefault="00182C82" w:rsidP="00ED1A0F">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D1A0F" w:rsidRPr="00ED1A0F">
                                      <w:rPr>
                                        <w:caps/>
                                        <w:color w:val="156082" w:themeColor="accent1"/>
                                        <w:sz w:val="64"/>
                                        <w:szCs w:val="64"/>
                                      </w:rPr>
                                      <w:t>Statutory Review of the role of the Inspector</w:t>
                                    </w:r>
                                    <w:r w:rsidR="00ED1A0F">
                                      <w:rPr>
                                        <w:caps/>
                                        <w:color w:val="156082" w:themeColor="accent1"/>
                                        <w:sz w:val="64"/>
                                        <w:szCs w:val="64"/>
                                      </w:rPr>
                                      <w:br/>
                                    </w:r>
                                    <w:r w:rsidR="00ED1A0F" w:rsidRPr="00ED1A0F">
                                      <w:rPr>
                                        <w:caps/>
                                        <w:color w:val="156082" w:themeColor="accent1"/>
                                        <w:sz w:val="64"/>
                                        <w:szCs w:val="64"/>
                                      </w:rPr>
                                      <w:t>General of Water Compliance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AC589CA" w14:textId="21B0C782" w:rsidR="00ED1A0F" w:rsidRDefault="00ED1A0F">
                                    <w:pPr>
                                      <w:jc w:val="right"/>
                                      <w:rPr>
                                        <w:smallCaps/>
                                        <w:color w:val="404040" w:themeColor="text1" w:themeTint="BF"/>
                                        <w:sz w:val="36"/>
                                        <w:szCs w:val="36"/>
                                      </w:rPr>
                                    </w:pPr>
                                    <w:r>
                                      <w:rPr>
                                        <w:color w:val="404040" w:themeColor="text1" w:themeTint="BF"/>
                                        <w:sz w:val="36"/>
                                        <w:szCs w:val="36"/>
                                      </w:rPr>
                                      <w:t>Submission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ED6F548" id="Text Box 163"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1AC09FF7" w14:textId="037C4483" w:rsidR="00ED1A0F" w:rsidRDefault="00182C82" w:rsidP="00ED1A0F">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D1A0F" w:rsidRPr="00ED1A0F">
                                <w:rPr>
                                  <w:caps/>
                                  <w:color w:val="156082" w:themeColor="accent1"/>
                                  <w:sz w:val="64"/>
                                  <w:szCs w:val="64"/>
                                </w:rPr>
                                <w:t>Statutory Review of the role of the Inspector</w:t>
                              </w:r>
                              <w:r w:rsidR="00ED1A0F">
                                <w:rPr>
                                  <w:caps/>
                                  <w:color w:val="156082" w:themeColor="accent1"/>
                                  <w:sz w:val="64"/>
                                  <w:szCs w:val="64"/>
                                </w:rPr>
                                <w:br/>
                              </w:r>
                              <w:r w:rsidR="00ED1A0F" w:rsidRPr="00ED1A0F">
                                <w:rPr>
                                  <w:caps/>
                                  <w:color w:val="156082" w:themeColor="accent1"/>
                                  <w:sz w:val="64"/>
                                  <w:szCs w:val="64"/>
                                </w:rPr>
                                <w:t>General of Water Compliance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AC589CA" w14:textId="21B0C782" w:rsidR="00ED1A0F" w:rsidRDefault="00ED1A0F">
                              <w:pPr>
                                <w:jc w:val="right"/>
                                <w:rPr>
                                  <w:smallCaps/>
                                  <w:color w:val="404040" w:themeColor="text1" w:themeTint="BF"/>
                                  <w:sz w:val="36"/>
                                  <w:szCs w:val="36"/>
                                </w:rPr>
                              </w:pPr>
                              <w:r>
                                <w:rPr>
                                  <w:color w:val="404040" w:themeColor="text1" w:themeTint="BF"/>
                                  <w:sz w:val="36"/>
                                  <w:szCs w:val="36"/>
                                </w:rPr>
                                <w:t>Submission</w:t>
                              </w:r>
                            </w:p>
                          </w:sdtContent>
                        </w:sdt>
                      </w:txbxContent>
                    </v:textbox>
                    <w10:wrap type="square" anchorx="page" anchory="page"/>
                  </v:shape>
                </w:pict>
              </mc:Fallback>
            </mc:AlternateContent>
          </w:r>
        </w:p>
        <w:p w14:paraId="02D5B2D9" w14:textId="49D1A9F8" w:rsidR="00ED1A0F" w:rsidRDefault="00ED1A0F">
          <w:r>
            <w:rPr>
              <w:rFonts w:ascii="Century Gothic" w:hAnsi="Century Gothic"/>
              <w:noProof/>
            </w:rPr>
            <w:drawing>
              <wp:anchor distT="0" distB="0" distL="114300" distR="114300" simplePos="0" relativeHeight="251658244" behindDoc="1" locked="0" layoutInCell="1" allowOverlap="1" wp14:anchorId="6F457C17" wp14:editId="2BF24248">
                <wp:simplePos x="0" y="0"/>
                <wp:positionH relativeFrom="margin">
                  <wp:posOffset>676275</wp:posOffset>
                </wp:positionH>
                <wp:positionV relativeFrom="paragraph">
                  <wp:posOffset>847725</wp:posOffset>
                </wp:positionV>
                <wp:extent cx="4677410" cy="1068070"/>
                <wp:effectExtent l="0" t="0" r="8890" b="0"/>
                <wp:wrapSquare wrapText="bothSides"/>
                <wp:docPr id="1660128744" name="Picture 166012874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67741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14:paraId="2DAB057B" w14:textId="07017AC4" w:rsidR="00994752" w:rsidRPr="009F4DBF" w:rsidRDefault="00994752" w:rsidP="00B73456">
      <w:pPr>
        <w:pStyle w:val="Heading1"/>
        <w:jc w:val="both"/>
        <w:rPr>
          <w:rFonts w:ascii="Century Gothic" w:hAnsi="Century Gothic"/>
        </w:rPr>
      </w:pPr>
      <w:r w:rsidRPr="009F4DBF">
        <w:rPr>
          <w:rFonts w:ascii="Century Gothic" w:hAnsi="Century Gothic"/>
        </w:rPr>
        <w:lastRenderedPageBreak/>
        <w:t>Foreword</w:t>
      </w:r>
    </w:p>
    <w:p w14:paraId="6E82D0C3" w14:textId="2959FA60" w:rsidR="00994752" w:rsidRDefault="003B13F7" w:rsidP="00B73456">
      <w:pPr>
        <w:jc w:val="both"/>
        <w:rPr>
          <w:rFonts w:ascii="Century Gothic" w:hAnsi="Century Gothic"/>
          <w:sz w:val="22"/>
          <w:szCs w:val="22"/>
        </w:rPr>
      </w:pPr>
      <w:r w:rsidRPr="003B13F7">
        <w:rPr>
          <w:rFonts w:ascii="Century Gothic" w:hAnsi="Century Gothic"/>
          <w:sz w:val="22"/>
          <w:szCs w:val="22"/>
        </w:rPr>
        <w:t>The National Irrigators’ Council (NIC) welcomes the opportunity to provide feedback into the</w:t>
      </w:r>
      <w:r w:rsidRPr="003B13F7">
        <w:t xml:space="preserve"> </w:t>
      </w:r>
      <w:hyperlink r:id="rId15" w:history="1">
        <w:r w:rsidRPr="00015E0A">
          <w:rPr>
            <w:rStyle w:val="Hyperlink"/>
            <w:rFonts w:ascii="Century Gothic" w:hAnsi="Century Gothic"/>
            <w:i/>
            <w:iCs/>
            <w:sz w:val="22"/>
            <w:szCs w:val="22"/>
          </w:rPr>
          <w:t>Statutory Review of the role of the Inspector General of Water Compliance</w:t>
        </w:r>
      </w:hyperlink>
      <w:r>
        <w:rPr>
          <w:rFonts w:ascii="Century Gothic" w:hAnsi="Century Gothic"/>
          <w:sz w:val="22"/>
          <w:szCs w:val="22"/>
        </w:rPr>
        <w:t xml:space="preserve"> (herein, this Review).</w:t>
      </w:r>
    </w:p>
    <w:p w14:paraId="19E78F55" w14:textId="2272D62D" w:rsidR="00937616" w:rsidRDefault="003B13F7" w:rsidP="00B73456">
      <w:pPr>
        <w:jc w:val="both"/>
        <w:rPr>
          <w:rFonts w:ascii="Century Gothic" w:hAnsi="Century Gothic"/>
          <w:sz w:val="22"/>
          <w:szCs w:val="22"/>
        </w:rPr>
      </w:pPr>
      <w:r>
        <w:rPr>
          <w:rFonts w:ascii="Century Gothic" w:hAnsi="Century Gothic"/>
          <w:sz w:val="22"/>
          <w:szCs w:val="22"/>
        </w:rPr>
        <w:t xml:space="preserve">NIC has strong principles regarding </w:t>
      </w:r>
      <w:r w:rsidR="002D6ADD">
        <w:rPr>
          <w:rFonts w:ascii="Century Gothic" w:hAnsi="Century Gothic"/>
          <w:sz w:val="22"/>
          <w:szCs w:val="22"/>
        </w:rPr>
        <w:t>transparency, integrity and accountability in all aspects of water management</w:t>
      </w:r>
      <w:r w:rsidR="00B76234">
        <w:rPr>
          <w:rFonts w:ascii="Century Gothic" w:hAnsi="Century Gothic"/>
          <w:sz w:val="22"/>
          <w:szCs w:val="22"/>
        </w:rPr>
        <w:t>, and the necessary scrutiny to ensure this is occurring</w:t>
      </w:r>
      <w:r w:rsidR="00F000B5">
        <w:rPr>
          <w:rFonts w:ascii="Century Gothic" w:hAnsi="Century Gothic"/>
          <w:sz w:val="22"/>
          <w:szCs w:val="22"/>
        </w:rPr>
        <w:t>.</w:t>
      </w:r>
    </w:p>
    <w:p w14:paraId="089600D6" w14:textId="2B0F9B65" w:rsidR="00B76234" w:rsidRPr="003B13F7" w:rsidRDefault="002D6ADD" w:rsidP="00B73456">
      <w:pPr>
        <w:jc w:val="both"/>
        <w:rPr>
          <w:rFonts w:ascii="Century Gothic" w:hAnsi="Century Gothic"/>
          <w:sz w:val="22"/>
          <w:szCs w:val="22"/>
        </w:rPr>
      </w:pPr>
      <w:r>
        <w:rPr>
          <w:rFonts w:ascii="Century Gothic" w:hAnsi="Century Gothic"/>
          <w:sz w:val="22"/>
          <w:szCs w:val="22"/>
        </w:rPr>
        <w:t xml:space="preserve">The </w:t>
      </w:r>
      <w:r w:rsidRPr="003B13F7">
        <w:rPr>
          <w:rFonts w:ascii="Century Gothic" w:hAnsi="Century Gothic"/>
          <w:sz w:val="22"/>
          <w:szCs w:val="22"/>
        </w:rPr>
        <w:t>Inspector General of Water Compliance</w:t>
      </w:r>
      <w:r>
        <w:rPr>
          <w:rFonts w:ascii="Century Gothic" w:hAnsi="Century Gothic"/>
          <w:sz w:val="22"/>
          <w:szCs w:val="22"/>
        </w:rPr>
        <w:t xml:space="preserve"> (IGWC) role is relatively new, created in 2021, </w:t>
      </w:r>
      <w:r w:rsidR="00B76234">
        <w:rPr>
          <w:rFonts w:ascii="Century Gothic" w:hAnsi="Century Gothic"/>
          <w:sz w:val="22"/>
          <w:szCs w:val="22"/>
        </w:rPr>
        <w:t xml:space="preserve">to ensure these principles are being met. </w:t>
      </w:r>
      <w:r w:rsidR="007430DA">
        <w:rPr>
          <w:rFonts w:ascii="Century Gothic" w:hAnsi="Century Gothic"/>
          <w:sz w:val="22"/>
          <w:szCs w:val="22"/>
        </w:rPr>
        <w:t>Reviewing how the role is functioning towards these key principles is paramount as the new role matures over time, to ensure that these principles are being met, but also that this is occurring in an effective, efficient</w:t>
      </w:r>
      <w:r w:rsidR="00D85B09">
        <w:rPr>
          <w:rFonts w:ascii="Century Gothic" w:hAnsi="Century Gothic"/>
          <w:sz w:val="22"/>
          <w:szCs w:val="22"/>
        </w:rPr>
        <w:t xml:space="preserve">, fit-for-purpose and </w:t>
      </w:r>
      <w:r w:rsidR="00691553">
        <w:rPr>
          <w:rFonts w:ascii="Century Gothic" w:hAnsi="Century Gothic"/>
          <w:sz w:val="22"/>
          <w:szCs w:val="22"/>
        </w:rPr>
        <w:t>proportional</w:t>
      </w:r>
      <w:r w:rsidR="00D85B09">
        <w:rPr>
          <w:rFonts w:ascii="Century Gothic" w:hAnsi="Century Gothic"/>
          <w:sz w:val="22"/>
          <w:szCs w:val="22"/>
        </w:rPr>
        <w:t xml:space="preserve"> manner. </w:t>
      </w:r>
      <w:r w:rsidR="00937616">
        <w:rPr>
          <w:rFonts w:ascii="Century Gothic" w:hAnsi="Century Gothic"/>
          <w:sz w:val="22"/>
          <w:szCs w:val="22"/>
        </w:rPr>
        <w:t xml:space="preserve">Nothing in this submission is to question or belittle the importance of these principles – rather – to examine how they can be most effectively and efficiently served.  </w:t>
      </w:r>
    </w:p>
    <w:p w14:paraId="7DADD840" w14:textId="14FDFA95" w:rsidR="00ED1A0F" w:rsidRPr="009F4DBF" w:rsidRDefault="00ED1A0F" w:rsidP="00B73456">
      <w:pPr>
        <w:pStyle w:val="Heading1"/>
        <w:jc w:val="both"/>
        <w:rPr>
          <w:rFonts w:ascii="Century Gothic" w:hAnsi="Century Gothic"/>
        </w:rPr>
      </w:pPr>
      <w:r w:rsidRPr="009F4DBF">
        <w:rPr>
          <w:rFonts w:ascii="Century Gothic" w:hAnsi="Century Gothic"/>
        </w:rPr>
        <w:t>About us</w:t>
      </w:r>
    </w:p>
    <w:p w14:paraId="114E0EDB" w14:textId="77777777" w:rsidR="00ED1A0F" w:rsidRPr="009F4DBF" w:rsidRDefault="00ED1A0F" w:rsidP="00B73456">
      <w:pPr>
        <w:jc w:val="both"/>
        <w:rPr>
          <w:rFonts w:ascii="Century Gothic" w:hAnsi="Century Gothic"/>
          <w:sz w:val="22"/>
          <w:szCs w:val="22"/>
        </w:rPr>
      </w:pPr>
      <w:r w:rsidRPr="009F4DBF">
        <w:rPr>
          <w:rFonts w:ascii="Century Gothic" w:hAnsi="Century Gothic"/>
          <w:sz w:val="22"/>
          <w:szCs w:val="22"/>
        </w:rPr>
        <w:t xml:space="preserve">The National Irrigators’ Council (NIC) is the peak industry body for irrigated agriculture in Australia. NIC is the voice of irrigation entitlement holders, water delivery operators and industries involved in food and fibre production across the nation for domestic consumption and significant international trade. Put simply, our industry is helping to feed and clothe Australia and our trading partners. </w:t>
      </w:r>
    </w:p>
    <w:p w14:paraId="7A9CA7EB" w14:textId="77777777" w:rsidR="00ED1A0F" w:rsidRPr="009F4DBF" w:rsidRDefault="00ED1A0F" w:rsidP="00B73456">
      <w:pPr>
        <w:jc w:val="both"/>
        <w:rPr>
          <w:rFonts w:ascii="Century Gothic" w:hAnsi="Century Gothic"/>
          <w:sz w:val="22"/>
          <w:szCs w:val="22"/>
        </w:rPr>
      </w:pPr>
      <w:r w:rsidRPr="009F4DBF">
        <w:rPr>
          <w:rFonts w:ascii="Century Gothic" w:hAnsi="Century Gothic"/>
          <w:sz w:val="22"/>
          <w:szCs w:val="22"/>
        </w:rPr>
        <w:t>Irrigated agriculture in Australia employs world leading practices in water management. Industry has extensively adopted and embraced new technologies and knowledge to ensure we are consistently growing more with less water. Australian farmers also operate under strict regulations and compliance mechanisms. These factors mean we lead the world in both farming practices and produce quality.</w:t>
      </w:r>
    </w:p>
    <w:p w14:paraId="369DACA7" w14:textId="12859373" w:rsidR="00ED1A0F" w:rsidRPr="00691553" w:rsidRDefault="00ED1A0F" w:rsidP="00B73456">
      <w:pPr>
        <w:jc w:val="both"/>
        <w:rPr>
          <w:rFonts w:ascii="Century Gothic" w:hAnsi="Century Gothic"/>
          <w:sz w:val="22"/>
          <w:szCs w:val="22"/>
        </w:rPr>
      </w:pPr>
      <w:r w:rsidRPr="009F4DBF">
        <w:rPr>
          <w:rFonts w:ascii="Century Gothic" w:hAnsi="Century Gothic"/>
          <w:sz w:val="22"/>
          <w:szCs w:val="22"/>
        </w:rPr>
        <w:t>NIC’s policy and advocacy are dedicated to growing and sustaining a viable and productive irrigated agriculture sector in Australia. We are committed to triple bottom line outcomes - for local communities, the environment, and our economy.</w:t>
      </w:r>
    </w:p>
    <w:p w14:paraId="3397D9A5" w14:textId="5632F09E" w:rsidR="00ED1A0F" w:rsidRPr="009F4DBF" w:rsidRDefault="00ED1A0F" w:rsidP="00B73456">
      <w:pPr>
        <w:pStyle w:val="Heading1"/>
        <w:jc w:val="both"/>
        <w:rPr>
          <w:rFonts w:ascii="Century Gothic" w:hAnsi="Century Gothic"/>
        </w:rPr>
      </w:pPr>
      <w:r w:rsidRPr="009F4DBF">
        <w:rPr>
          <w:rFonts w:ascii="Century Gothic" w:hAnsi="Century Gothic"/>
        </w:rPr>
        <w:t>Background</w:t>
      </w:r>
    </w:p>
    <w:p w14:paraId="7AF61482" w14:textId="6853F64B" w:rsidR="00ED1A0F" w:rsidRPr="0008263D" w:rsidRDefault="00ED1A0F" w:rsidP="00B73456">
      <w:pPr>
        <w:jc w:val="both"/>
        <w:rPr>
          <w:rFonts w:ascii="Century Gothic" w:hAnsi="Century Gothic"/>
          <w:sz w:val="22"/>
          <w:szCs w:val="22"/>
        </w:rPr>
      </w:pPr>
      <w:r w:rsidRPr="0008263D">
        <w:rPr>
          <w:rFonts w:ascii="Century Gothic" w:hAnsi="Century Gothic"/>
          <w:sz w:val="22"/>
          <w:szCs w:val="22"/>
        </w:rPr>
        <w:t xml:space="preserve">The IGWC role was created in 2021, with the objective of </w:t>
      </w:r>
      <w:r w:rsidR="00AC771B" w:rsidRPr="0008263D">
        <w:rPr>
          <w:rFonts w:ascii="Century Gothic" w:hAnsi="Century Gothic"/>
          <w:sz w:val="22"/>
          <w:szCs w:val="22"/>
        </w:rPr>
        <w:t>monitoring and providing independent oversight of agencies managing the water resources of the Basin.</w:t>
      </w:r>
      <w:r w:rsidR="00F000B5">
        <w:rPr>
          <w:rFonts w:ascii="Century Gothic" w:hAnsi="Century Gothic"/>
          <w:sz w:val="22"/>
          <w:szCs w:val="22"/>
        </w:rPr>
        <w:t xml:space="preserve"> </w:t>
      </w:r>
      <w:r w:rsidRPr="0008263D">
        <w:rPr>
          <w:rFonts w:ascii="Century Gothic" w:hAnsi="Century Gothic"/>
          <w:sz w:val="22"/>
          <w:szCs w:val="22"/>
        </w:rPr>
        <w:t xml:space="preserve">This review is to meet the statutory requirements to review of the role of the Inspector-General of Water Compliance (IGWC) this financial year, in accordance with section 215Z of the </w:t>
      </w:r>
      <w:r w:rsidRPr="0008263D">
        <w:rPr>
          <w:rFonts w:ascii="Century Gothic" w:hAnsi="Century Gothic"/>
          <w:i/>
          <w:iCs/>
          <w:sz w:val="22"/>
          <w:szCs w:val="22"/>
        </w:rPr>
        <w:t xml:space="preserve">Water Act 2007 (Cth) </w:t>
      </w:r>
      <w:r w:rsidRPr="0008263D">
        <w:rPr>
          <w:rFonts w:ascii="Century Gothic" w:hAnsi="Century Gothic"/>
          <w:sz w:val="22"/>
          <w:szCs w:val="22"/>
        </w:rPr>
        <w:t>(the Act).</w:t>
      </w:r>
      <w:r w:rsidR="00B73456">
        <w:rPr>
          <w:rFonts w:ascii="Century Gothic" w:hAnsi="Century Gothic"/>
          <w:sz w:val="22"/>
          <w:szCs w:val="22"/>
        </w:rPr>
        <w:t xml:space="preserve"> </w:t>
      </w:r>
      <w:r w:rsidRPr="0008263D">
        <w:rPr>
          <w:rFonts w:ascii="Century Gothic" w:hAnsi="Century Gothic"/>
          <w:sz w:val="22"/>
          <w:szCs w:val="22"/>
        </w:rPr>
        <w:t>This follows a non-statutory review of the IGWC delivered by Mr Peter Harris AO in January 2024</w:t>
      </w:r>
      <w:r w:rsidR="001337B7" w:rsidRPr="0008263D">
        <w:rPr>
          <w:rFonts w:ascii="Century Gothic" w:hAnsi="Century Gothic"/>
          <w:sz w:val="22"/>
          <w:szCs w:val="22"/>
        </w:rPr>
        <w:t xml:space="preserve"> (herein, the Harris Review)</w:t>
      </w:r>
      <w:r w:rsidRPr="0008263D">
        <w:rPr>
          <w:rFonts w:ascii="Century Gothic" w:hAnsi="Century Gothic"/>
          <w:sz w:val="22"/>
          <w:szCs w:val="22"/>
        </w:rPr>
        <w:t>.</w:t>
      </w:r>
      <w:r w:rsidR="00AC771B" w:rsidRPr="0008263D">
        <w:rPr>
          <w:rStyle w:val="FootnoteReference"/>
          <w:rFonts w:ascii="Century Gothic" w:hAnsi="Century Gothic"/>
          <w:sz w:val="22"/>
          <w:szCs w:val="22"/>
        </w:rPr>
        <w:footnoteReference w:id="1"/>
      </w:r>
    </w:p>
    <w:p w14:paraId="5BE1D0D5" w14:textId="69BD222A" w:rsidR="00AC771B" w:rsidRPr="009F4DBF" w:rsidRDefault="00AC771B" w:rsidP="00784012">
      <w:pPr>
        <w:pStyle w:val="Heading1"/>
        <w:rPr>
          <w:rFonts w:ascii="Century Gothic" w:hAnsi="Century Gothic"/>
        </w:rPr>
      </w:pPr>
      <w:r w:rsidRPr="009F4DBF">
        <w:rPr>
          <w:rFonts w:ascii="Century Gothic" w:hAnsi="Century Gothic"/>
        </w:rPr>
        <w:lastRenderedPageBreak/>
        <w:t>Submission</w:t>
      </w:r>
    </w:p>
    <w:p w14:paraId="1FF9DD6B" w14:textId="47FD5FE0" w:rsidR="00B24611" w:rsidRPr="0008263D" w:rsidRDefault="00784012"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 xml:space="preserve">NIC in-principle supports the </w:t>
      </w:r>
      <w:r w:rsidR="00BD596C" w:rsidRPr="0008263D">
        <w:rPr>
          <w:rFonts w:ascii="Century Gothic" w:hAnsi="Century Gothic"/>
          <w:sz w:val="22"/>
          <w:szCs w:val="22"/>
        </w:rPr>
        <w:t>intent</w:t>
      </w:r>
      <w:r w:rsidRPr="0008263D">
        <w:rPr>
          <w:rFonts w:ascii="Century Gothic" w:hAnsi="Century Gothic"/>
          <w:sz w:val="22"/>
          <w:szCs w:val="22"/>
        </w:rPr>
        <w:t xml:space="preserve"> of having separate functions for policy development, implementation and enforcement/compliance, as </w:t>
      </w:r>
      <w:r w:rsidR="00BD596C" w:rsidRPr="0008263D">
        <w:rPr>
          <w:rFonts w:ascii="Century Gothic" w:hAnsi="Century Gothic"/>
          <w:sz w:val="22"/>
          <w:szCs w:val="22"/>
        </w:rPr>
        <w:t>envisioned</w:t>
      </w:r>
      <w:r w:rsidRPr="0008263D">
        <w:rPr>
          <w:rFonts w:ascii="Century Gothic" w:hAnsi="Century Gothic"/>
          <w:sz w:val="22"/>
          <w:szCs w:val="22"/>
        </w:rPr>
        <w:t xml:space="preserve"> by the IGWC role. </w:t>
      </w:r>
      <w:r w:rsidR="0087602B" w:rsidRPr="0008263D">
        <w:rPr>
          <w:rFonts w:ascii="Century Gothic" w:hAnsi="Century Gothic"/>
          <w:sz w:val="22"/>
          <w:szCs w:val="22"/>
        </w:rPr>
        <w:t>However,</w:t>
      </w:r>
      <w:r w:rsidR="00DE3F68" w:rsidRPr="0008263D">
        <w:rPr>
          <w:rFonts w:ascii="Century Gothic" w:hAnsi="Century Gothic"/>
          <w:sz w:val="22"/>
          <w:szCs w:val="22"/>
        </w:rPr>
        <w:t xml:space="preserve"> there are a number of issues important for consideration in this review.</w:t>
      </w:r>
    </w:p>
    <w:p w14:paraId="3B4FF951" w14:textId="1F449D45" w:rsidR="00C956AB" w:rsidRPr="0008263D" w:rsidRDefault="00C956AB" w:rsidP="00D34E51">
      <w:pPr>
        <w:pStyle w:val="ListParagraph"/>
        <w:ind w:left="360"/>
        <w:jc w:val="both"/>
        <w:rPr>
          <w:rFonts w:ascii="Century Gothic" w:hAnsi="Century Gothic"/>
          <w:sz w:val="22"/>
          <w:szCs w:val="22"/>
        </w:rPr>
      </w:pPr>
    </w:p>
    <w:p w14:paraId="2C04FD9B" w14:textId="66729B9A" w:rsidR="008A7C0B" w:rsidRPr="0008263D" w:rsidRDefault="00C956AB"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 xml:space="preserve">NIC notes several related reviews and inquiries occurring concurrently, and </w:t>
      </w:r>
      <w:r w:rsidR="00921886" w:rsidRPr="0008263D">
        <w:rPr>
          <w:rFonts w:ascii="Century Gothic" w:hAnsi="Century Gothic"/>
          <w:sz w:val="22"/>
          <w:szCs w:val="22"/>
        </w:rPr>
        <w:t xml:space="preserve">supports this review considering and coordinating with these other reviews. </w:t>
      </w:r>
    </w:p>
    <w:p w14:paraId="01E70D9F" w14:textId="6BE804CA" w:rsidR="008A7C0B" w:rsidRPr="0008263D" w:rsidRDefault="00921886"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NIC emphasises that stakeholders are currently involved in significant public consultation processes</w:t>
      </w:r>
      <w:r w:rsidR="00834984" w:rsidRPr="0008263D">
        <w:rPr>
          <w:rFonts w:ascii="Century Gothic" w:hAnsi="Century Gothic"/>
          <w:sz w:val="22"/>
          <w:szCs w:val="22"/>
        </w:rPr>
        <w:t xml:space="preserve"> at this time (including but not limited to the 2026 Basin Plan Review Discussion Paper), and have limited</w:t>
      </w:r>
      <w:r w:rsidR="008A7C0B" w:rsidRPr="0008263D">
        <w:rPr>
          <w:rFonts w:ascii="Century Gothic" w:hAnsi="Century Gothic"/>
          <w:sz w:val="22"/>
          <w:szCs w:val="22"/>
        </w:rPr>
        <w:t xml:space="preserve"> resourcing</w:t>
      </w:r>
      <w:r w:rsidR="00834984" w:rsidRPr="0008263D">
        <w:rPr>
          <w:rFonts w:ascii="Century Gothic" w:hAnsi="Century Gothic"/>
          <w:sz w:val="22"/>
          <w:szCs w:val="22"/>
        </w:rPr>
        <w:t xml:space="preserve"> ability to provide more detailed feedback at this point in time. </w:t>
      </w:r>
    </w:p>
    <w:p w14:paraId="006D0C17" w14:textId="06BB3951" w:rsidR="00C956AB" w:rsidRPr="0008263D" w:rsidRDefault="004C505C"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 xml:space="preserve">NIC emphasises that </w:t>
      </w:r>
      <w:r w:rsidR="00885867" w:rsidRPr="0008263D">
        <w:rPr>
          <w:rFonts w:ascii="Century Gothic" w:hAnsi="Century Gothic"/>
          <w:sz w:val="22"/>
          <w:szCs w:val="22"/>
        </w:rPr>
        <w:t>a reduced level of</w:t>
      </w:r>
      <w:r w:rsidRPr="0008263D">
        <w:rPr>
          <w:rFonts w:ascii="Century Gothic" w:hAnsi="Century Gothic"/>
          <w:sz w:val="22"/>
          <w:szCs w:val="22"/>
        </w:rPr>
        <w:t xml:space="preserve"> stakeholder involvement in this process is not a reflection of</w:t>
      </w:r>
      <w:r w:rsidR="00885867" w:rsidRPr="0008263D">
        <w:rPr>
          <w:rFonts w:ascii="Century Gothic" w:hAnsi="Century Gothic"/>
          <w:sz w:val="22"/>
          <w:szCs w:val="22"/>
        </w:rPr>
        <w:t xml:space="preserve"> lack of</w:t>
      </w:r>
      <w:r w:rsidRPr="0008263D">
        <w:rPr>
          <w:rFonts w:ascii="Century Gothic" w:hAnsi="Century Gothic"/>
          <w:sz w:val="22"/>
          <w:szCs w:val="22"/>
        </w:rPr>
        <w:t xml:space="preserve"> interest,</w:t>
      </w:r>
      <w:r w:rsidR="00CE5EE3" w:rsidRPr="0008263D">
        <w:rPr>
          <w:rFonts w:ascii="Century Gothic" w:hAnsi="Century Gothic"/>
          <w:sz w:val="22"/>
          <w:szCs w:val="22"/>
        </w:rPr>
        <w:t xml:space="preserve"> and </w:t>
      </w:r>
      <w:r w:rsidR="008A7C0B" w:rsidRPr="0008263D">
        <w:rPr>
          <w:rFonts w:ascii="Century Gothic" w:hAnsi="Century Gothic"/>
          <w:sz w:val="22"/>
          <w:szCs w:val="22"/>
        </w:rPr>
        <w:t>recommends</w:t>
      </w:r>
      <w:r w:rsidR="00CE5EE3" w:rsidRPr="0008263D">
        <w:rPr>
          <w:rFonts w:ascii="Century Gothic" w:hAnsi="Century Gothic"/>
          <w:sz w:val="22"/>
          <w:szCs w:val="22"/>
        </w:rPr>
        <w:t xml:space="preserve"> the reviewers arrange direct</w:t>
      </w:r>
      <w:r w:rsidR="008A7C0B" w:rsidRPr="0008263D">
        <w:rPr>
          <w:rFonts w:ascii="Century Gothic" w:hAnsi="Century Gothic"/>
          <w:sz w:val="22"/>
          <w:szCs w:val="22"/>
        </w:rPr>
        <w:t xml:space="preserve"> </w:t>
      </w:r>
      <w:r w:rsidR="00CE5EE3" w:rsidRPr="0008263D">
        <w:rPr>
          <w:rFonts w:ascii="Century Gothic" w:hAnsi="Century Gothic"/>
          <w:sz w:val="22"/>
          <w:szCs w:val="22"/>
        </w:rPr>
        <w:t xml:space="preserve">conversations with stakeholders if there are gaps in stakeholder input. </w:t>
      </w:r>
      <w:r w:rsidR="00EC7AA8" w:rsidRPr="0008263D">
        <w:rPr>
          <w:rFonts w:ascii="Century Gothic" w:hAnsi="Century Gothic"/>
          <w:sz w:val="22"/>
          <w:szCs w:val="22"/>
        </w:rPr>
        <w:t xml:space="preserve">An omission is not agreement, or an indication of there being no issues. </w:t>
      </w:r>
    </w:p>
    <w:p w14:paraId="786DE5A7" w14:textId="2B8614A1" w:rsidR="00B24611" w:rsidRPr="0008263D" w:rsidRDefault="00B24611" w:rsidP="00D34E51">
      <w:pPr>
        <w:pStyle w:val="ListParagraph"/>
        <w:ind w:left="360"/>
        <w:jc w:val="both"/>
        <w:rPr>
          <w:rFonts w:ascii="Century Gothic" w:hAnsi="Century Gothic"/>
          <w:sz w:val="22"/>
          <w:szCs w:val="22"/>
        </w:rPr>
      </w:pPr>
    </w:p>
    <w:p w14:paraId="12D55C82" w14:textId="574BBE44" w:rsidR="0019648E" w:rsidRPr="0008263D" w:rsidRDefault="00DE3F68"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W</w:t>
      </w:r>
      <w:r w:rsidR="00B52C3E" w:rsidRPr="0008263D">
        <w:rPr>
          <w:rFonts w:ascii="Century Gothic" w:hAnsi="Century Gothic"/>
          <w:sz w:val="22"/>
          <w:szCs w:val="22"/>
        </w:rPr>
        <w:t xml:space="preserve">ith the numerous agencies in the water sector, across both State and Federal levels, we are concerned that the role creates duplications and inefficiency. </w:t>
      </w:r>
      <w:r w:rsidR="003874F4" w:rsidRPr="0008263D">
        <w:rPr>
          <w:rFonts w:ascii="Century Gothic" w:hAnsi="Century Gothic"/>
          <w:sz w:val="22"/>
          <w:szCs w:val="22"/>
        </w:rPr>
        <w:t xml:space="preserve">It also adds to the complexity of a large number of water agencies. </w:t>
      </w:r>
    </w:p>
    <w:p w14:paraId="543A3E31" w14:textId="7D5B1DA7" w:rsidR="00836D06" w:rsidRPr="0008263D" w:rsidRDefault="0019648E"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For example, in reports of the compliance with Sustainable Diversion Limits (SDLs), this data is provided by the Basin States</w:t>
      </w:r>
      <w:r w:rsidR="00836D06" w:rsidRPr="0008263D">
        <w:rPr>
          <w:rFonts w:ascii="Century Gothic" w:hAnsi="Century Gothic"/>
          <w:sz w:val="22"/>
          <w:szCs w:val="22"/>
        </w:rPr>
        <w:t xml:space="preserve"> to the MDBA</w:t>
      </w:r>
      <w:r w:rsidR="00F927F0" w:rsidRPr="0008263D">
        <w:rPr>
          <w:rFonts w:ascii="Century Gothic" w:hAnsi="Century Gothic"/>
          <w:sz w:val="22"/>
          <w:szCs w:val="22"/>
        </w:rPr>
        <w:t xml:space="preserve"> to compile </w:t>
      </w:r>
      <w:r w:rsidR="001F308E" w:rsidRPr="0008263D">
        <w:rPr>
          <w:rFonts w:ascii="Century Gothic" w:hAnsi="Century Gothic"/>
          <w:sz w:val="22"/>
          <w:szCs w:val="22"/>
        </w:rPr>
        <w:t xml:space="preserve">into Registers of Take </w:t>
      </w:r>
      <w:r w:rsidR="00F927F0" w:rsidRPr="0008263D">
        <w:rPr>
          <w:rFonts w:ascii="Century Gothic" w:hAnsi="Century Gothic"/>
          <w:sz w:val="22"/>
          <w:szCs w:val="22"/>
        </w:rPr>
        <w:t>and assess whether water take</w:t>
      </w:r>
      <w:r w:rsidR="001F308E" w:rsidRPr="0008263D">
        <w:rPr>
          <w:rFonts w:ascii="Century Gothic" w:hAnsi="Century Gothic"/>
          <w:sz w:val="22"/>
          <w:szCs w:val="22"/>
        </w:rPr>
        <w:t xml:space="preserve"> accounting</w:t>
      </w:r>
      <w:r w:rsidR="00F927F0" w:rsidRPr="0008263D">
        <w:rPr>
          <w:rFonts w:ascii="Century Gothic" w:hAnsi="Century Gothic"/>
          <w:sz w:val="22"/>
          <w:szCs w:val="22"/>
        </w:rPr>
        <w:t xml:space="preserve"> was consistent with the method in the Basin Plan</w:t>
      </w:r>
      <w:r w:rsidR="001F308E" w:rsidRPr="0008263D">
        <w:rPr>
          <w:rFonts w:ascii="Century Gothic" w:hAnsi="Century Gothic"/>
          <w:sz w:val="22"/>
          <w:szCs w:val="22"/>
        </w:rPr>
        <w:t xml:space="preserve"> – which is then provided to the IGWC to report on.</w:t>
      </w:r>
      <w:r w:rsidR="00FC0B6E" w:rsidRPr="0008263D">
        <w:rPr>
          <w:rFonts w:ascii="Century Gothic" w:hAnsi="Century Gothic"/>
          <w:sz w:val="22"/>
          <w:szCs w:val="22"/>
        </w:rPr>
        <w:t xml:space="preserve"> This is a, minimum, three-part process. </w:t>
      </w:r>
    </w:p>
    <w:p w14:paraId="56FBBED9" w14:textId="5F0928E4" w:rsidR="0019648E" w:rsidRPr="0008263D" w:rsidRDefault="001337B7"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This was noted in the Harris Review, stating</w:t>
      </w:r>
      <w:r w:rsidR="00287FA5" w:rsidRPr="0008263D">
        <w:rPr>
          <w:rFonts w:ascii="Century Gothic" w:hAnsi="Century Gothic"/>
          <w:sz w:val="22"/>
          <w:szCs w:val="22"/>
        </w:rPr>
        <w:t xml:space="preserve"> this is</w:t>
      </w:r>
      <w:r w:rsidRPr="0008263D">
        <w:rPr>
          <w:rFonts w:ascii="Century Gothic" w:hAnsi="Century Gothic"/>
          <w:sz w:val="22"/>
          <w:szCs w:val="22"/>
        </w:rPr>
        <w:t xml:space="preserve"> “</w:t>
      </w:r>
      <w:r w:rsidR="00287FA5" w:rsidRPr="0008263D">
        <w:rPr>
          <w:rFonts w:ascii="Century Gothic" w:hAnsi="Century Gothic"/>
          <w:i/>
          <w:iCs/>
          <w:sz w:val="22"/>
          <w:szCs w:val="22"/>
        </w:rPr>
        <w:t>the area where the boundary between the responsibilities of the MDBA and those of the Inspector General is most problematic</w:t>
      </w:r>
      <w:r w:rsidR="00287FA5" w:rsidRPr="0008263D">
        <w:rPr>
          <w:rFonts w:ascii="Century Gothic" w:hAnsi="Century Gothic"/>
          <w:sz w:val="22"/>
          <w:szCs w:val="22"/>
        </w:rPr>
        <w:t>”</w:t>
      </w:r>
      <w:r w:rsidR="00287FA5" w:rsidRPr="0008263D">
        <w:rPr>
          <w:rStyle w:val="FootnoteReference"/>
          <w:rFonts w:ascii="Century Gothic" w:hAnsi="Century Gothic"/>
          <w:sz w:val="22"/>
          <w:szCs w:val="22"/>
        </w:rPr>
        <w:footnoteReference w:id="2"/>
      </w:r>
      <w:r w:rsidR="00287FA5" w:rsidRPr="0008263D">
        <w:rPr>
          <w:rFonts w:ascii="Century Gothic" w:hAnsi="Century Gothic"/>
          <w:sz w:val="22"/>
          <w:szCs w:val="22"/>
        </w:rPr>
        <w:t xml:space="preserve">. </w:t>
      </w:r>
    </w:p>
    <w:p w14:paraId="3AEEE863" w14:textId="176B43F2" w:rsidR="001B6790" w:rsidRPr="0008263D" w:rsidRDefault="00FC0B6E"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The intent of this was</w:t>
      </w:r>
      <w:r w:rsidR="00076EF8" w:rsidRPr="0008263D">
        <w:rPr>
          <w:rFonts w:ascii="Century Gothic" w:hAnsi="Century Gothic"/>
          <w:sz w:val="22"/>
          <w:szCs w:val="22"/>
        </w:rPr>
        <w:t xml:space="preserve"> to prevent the MDBA ‘marking their own homework’. However, in practical terms, the MDBA is marking the homework of the Basin States</w:t>
      </w:r>
      <w:r w:rsidRPr="0008263D">
        <w:rPr>
          <w:rFonts w:ascii="Century Gothic" w:hAnsi="Century Gothic"/>
          <w:sz w:val="22"/>
          <w:szCs w:val="22"/>
        </w:rPr>
        <w:t xml:space="preserve"> already</w:t>
      </w:r>
      <w:r w:rsidR="00076EF8" w:rsidRPr="0008263D">
        <w:rPr>
          <w:rFonts w:ascii="Century Gothic" w:hAnsi="Century Gothic"/>
          <w:sz w:val="22"/>
          <w:szCs w:val="22"/>
        </w:rPr>
        <w:t xml:space="preserve"> in how they comply with the SDL, and </w:t>
      </w:r>
      <w:r w:rsidR="00935A93" w:rsidRPr="0008263D">
        <w:rPr>
          <w:rFonts w:ascii="Century Gothic" w:hAnsi="Century Gothic"/>
          <w:sz w:val="22"/>
          <w:szCs w:val="22"/>
        </w:rPr>
        <w:t>undertake their water accounting to determine that. The notion it is the MDBA’s homework is perhaps an oversimplification</w:t>
      </w:r>
      <w:r w:rsidR="00B54954" w:rsidRPr="0008263D">
        <w:rPr>
          <w:rFonts w:ascii="Century Gothic" w:hAnsi="Century Gothic"/>
          <w:sz w:val="22"/>
          <w:szCs w:val="22"/>
        </w:rPr>
        <w:t xml:space="preserve"> (it is marking the marking of the homework)</w:t>
      </w:r>
      <w:r w:rsidR="004C3155" w:rsidRPr="0008263D">
        <w:rPr>
          <w:rFonts w:ascii="Century Gothic" w:hAnsi="Century Gothic"/>
          <w:sz w:val="22"/>
          <w:szCs w:val="22"/>
        </w:rPr>
        <w:t xml:space="preserve">, and has resulted in an arguably clumsy process with unclear roles and inefficient processes. </w:t>
      </w:r>
      <w:r w:rsidR="00CE7229" w:rsidRPr="0008263D">
        <w:rPr>
          <w:rFonts w:ascii="Century Gothic" w:hAnsi="Century Gothic"/>
          <w:sz w:val="22"/>
          <w:szCs w:val="22"/>
        </w:rPr>
        <w:t>While scrutiny is indeed fundamental, questions must be asked regarding if this has gone too far</w:t>
      </w:r>
      <w:r w:rsidR="001351FF" w:rsidRPr="0008263D">
        <w:rPr>
          <w:rFonts w:ascii="Century Gothic" w:hAnsi="Century Gothic"/>
          <w:sz w:val="22"/>
          <w:szCs w:val="22"/>
        </w:rPr>
        <w:t xml:space="preserve">, and what additional benefit is being provided. </w:t>
      </w:r>
    </w:p>
    <w:p w14:paraId="694CD9B6" w14:textId="6B6346F2" w:rsidR="004F525B" w:rsidRPr="0008263D" w:rsidRDefault="004F525B"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 xml:space="preserve">Partly due to this process, there </w:t>
      </w:r>
      <w:r w:rsidR="00B54954" w:rsidRPr="0008263D">
        <w:rPr>
          <w:rFonts w:ascii="Century Gothic" w:hAnsi="Century Gothic"/>
          <w:sz w:val="22"/>
          <w:szCs w:val="22"/>
        </w:rPr>
        <w:t>have been</w:t>
      </w:r>
      <w:r w:rsidRPr="0008263D">
        <w:rPr>
          <w:rFonts w:ascii="Century Gothic" w:hAnsi="Century Gothic"/>
          <w:sz w:val="22"/>
          <w:szCs w:val="22"/>
        </w:rPr>
        <w:t xml:space="preserve"> significant time delays in the publication of these reports after the water year to which they relate. </w:t>
      </w:r>
    </w:p>
    <w:p w14:paraId="4AD0E87F" w14:textId="37689630" w:rsidR="009733B8" w:rsidRPr="0008263D" w:rsidRDefault="009733B8"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lastRenderedPageBreak/>
        <w:t xml:space="preserve">These SDL Compliance Reports also do not provide details on underusage against the SDL, only over-usage. This presents a one-sided </w:t>
      </w:r>
      <w:r w:rsidR="00CE7229" w:rsidRPr="0008263D">
        <w:rPr>
          <w:rFonts w:ascii="Century Gothic" w:hAnsi="Century Gothic"/>
          <w:sz w:val="22"/>
          <w:szCs w:val="22"/>
        </w:rPr>
        <w:t xml:space="preserve">representation of water usage. </w:t>
      </w:r>
    </w:p>
    <w:p w14:paraId="1711BCA2" w14:textId="1FFB1B64" w:rsidR="00463843" w:rsidRPr="0008263D" w:rsidRDefault="00463843"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 xml:space="preserve">The Basin Plan Review is currently considering regulatory-design, and we encourage this </w:t>
      </w:r>
      <w:r w:rsidR="00450E60" w:rsidRPr="0008263D">
        <w:rPr>
          <w:rFonts w:ascii="Century Gothic" w:hAnsi="Century Gothic"/>
          <w:sz w:val="22"/>
          <w:szCs w:val="22"/>
        </w:rPr>
        <w:t xml:space="preserve">review to consider the issues raised and responses to that process. </w:t>
      </w:r>
      <w:r w:rsidRPr="0008263D">
        <w:rPr>
          <w:rFonts w:ascii="Century Gothic" w:hAnsi="Century Gothic"/>
          <w:sz w:val="22"/>
          <w:szCs w:val="22"/>
        </w:rPr>
        <w:t xml:space="preserve"> </w:t>
      </w:r>
    </w:p>
    <w:p w14:paraId="0512B245" w14:textId="77777777" w:rsidR="0042255E" w:rsidRPr="0008263D" w:rsidRDefault="0042255E" w:rsidP="00D34E51">
      <w:pPr>
        <w:pStyle w:val="ListParagraph"/>
        <w:jc w:val="both"/>
        <w:rPr>
          <w:rFonts w:ascii="Century Gothic" w:hAnsi="Century Gothic"/>
          <w:sz w:val="22"/>
          <w:szCs w:val="22"/>
        </w:rPr>
      </w:pPr>
    </w:p>
    <w:p w14:paraId="5DD0A41A" w14:textId="7B5F8B52" w:rsidR="00F968D9" w:rsidRPr="0008263D" w:rsidRDefault="00F968D9"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There are questions regarding the extent to which the role of the IGWC can operate within the current legislative and constitutional framework, with water remaining a power of the States. The IGWC role has been created with an expectation to be a ‘tough cop’ on the States</w:t>
      </w:r>
      <w:r w:rsidR="00123F95" w:rsidRPr="0008263D">
        <w:rPr>
          <w:rFonts w:ascii="Century Gothic" w:hAnsi="Century Gothic"/>
          <w:sz w:val="22"/>
          <w:szCs w:val="22"/>
        </w:rPr>
        <w:t xml:space="preserve"> and public agencies</w:t>
      </w:r>
      <w:r w:rsidRPr="0008263D">
        <w:rPr>
          <w:rFonts w:ascii="Century Gothic" w:hAnsi="Century Gothic"/>
          <w:sz w:val="22"/>
          <w:szCs w:val="22"/>
        </w:rPr>
        <w:t xml:space="preserve">, however, while States have agreed to frameworks, the power ultimately remains with the States. </w:t>
      </w:r>
      <w:r w:rsidR="00AA328F" w:rsidRPr="0008263D">
        <w:rPr>
          <w:rFonts w:ascii="Century Gothic" w:hAnsi="Century Gothic"/>
          <w:sz w:val="22"/>
          <w:szCs w:val="22"/>
        </w:rPr>
        <w:t xml:space="preserve">This questions the </w:t>
      </w:r>
      <w:r w:rsidR="00BE241B" w:rsidRPr="0008263D">
        <w:rPr>
          <w:rFonts w:ascii="Century Gothic" w:hAnsi="Century Gothic"/>
          <w:sz w:val="22"/>
          <w:szCs w:val="22"/>
        </w:rPr>
        <w:t>core purpose</w:t>
      </w:r>
      <w:r w:rsidR="00AA328F" w:rsidRPr="0008263D">
        <w:rPr>
          <w:rFonts w:ascii="Century Gothic" w:hAnsi="Century Gothic"/>
          <w:sz w:val="22"/>
          <w:szCs w:val="22"/>
        </w:rPr>
        <w:t xml:space="preserve"> of the IGWC. </w:t>
      </w:r>
    </w:p>
    <w:p w14:paraId="28345CF4" w14:textId="0CA8CCFF" w:rsidR="00F968D9" w:rsidRPr="0008263D" w:rsidRDefault="00DD1349"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T</w:t>
      </w:r>
      <w:r w:rsidR="00F968D9" w:rsidRPr="0008263D">
        <w:rPr>
          <w:rFonts w:ascii="Century Gothic" w:hAnsi="Century Gothic"/>
          <w:sz w:val="22"/>
          <w:szCs w:val="22"/>
        </w:rPr>
        <w:t>he approach to be a ‘cop’</w:t>
      </w:r>
      <w:r w:rsidRPr="0008263D">
        <w:rPr>
          <w:rFonts w:ascii="Century Gothic" w:hAnsi="Century Gothic"/>
          <w:sz w:val="22"/>
          <w:szCs w:val="22"/>
        </w:rPr>
        <w:t xml:space="preserve"> is questionable in this context</w:t>
      </w:r>
      <w:r w:rsidR="004B1135" w:rsidRPr="0008263D">
        <w:rPr>
          <w:rFonts w:ascii="Century Gothic" w:hAnsi="Century Gothic"/>
          <w:sz w:val="22"/>
          <w:szCs w:val="22"/>
        </w:rPr>
        <w:t>, where enforcement is of voluntary agreements with limited powers.</w:t>
      </w:r>
      <w:r w:rsidR="00F968D9" w:rsidRPr="0008263D">
        <w:rPr>
          <w:rFonts w:ascii="Century Gothic" w:hAnsi="Century Gothic"/>
          <w:sz w:val="22"/>
          <w:szCs w:val="22"/>
        </w:rPr>
        <w:t xml:space="preserve"> </w:t>
      </w:r>
      <w:r w:rsidR="004B1135" w:rsidRPr="0008263D">
        <w:rPr>
          <w:rFonts w:ascii="Century Gothic" w:hAnsi="Century Gothic"/>
          <w:sz w:val="22"/>
          <w:szCs w:val="22"/>
        </w:rPr>
        <w:t>A</w:t>
      </w:r>
      <w:r w:rsidR="00F968D9" w:rsidRPr="0008263D">
        <w:rPr>
          <w:rFonts w:ascii="Century Gothic" w:hAnsi="Century Gothic"/>
          <w:sz w:val="22"/>
          <w:szCs w:val="22"/>
        </w:rPr>
        <w:t xml:space="preserve"> more suitable approach would be working constructively with agencies to overcome implementation barriers, technical gaps, resourcing gaps, or other hindrances on agencies performance and delivery</w:t>
      </w:r>
      <w:r w:rsidR="00352675" w:rsidRPr="0008263D">
        <w:rPr>
          <w:rFonts w:ascii="Century Gothic" w:hAnsi="Century Gothic"/>
          <w:sz w:val="22"/>
          <w:szCs w:val="22"/>
        </w:rPr>
        <w:t xml:space="preserve"> – such as by providing independent advice or guidance</w:t>
      </w:r>
      <w:r w:rsidR="00F968D9" w:rsidRPr="0008263D">
        <w:rPr>
          <w:rFonts w:ascii="Century Gothic" w:hAnsi="Century Gothic"/>
          <w:sz w:val="22"/>
          <w:szCs w:val="22"/>
        </w:rPr>
        <w:t xml:space="preserve">. </w:t>
      </w:r>
    </w:p>
    <w:p w14:paraId="75C0B4A6" w14:textId="7DC9C88D" w:rsidR="00E53614" w:rsidRPr="0008263D" w:rsidRDefault="00352675"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We understand t</w:t>
      </w:r>
      <w:r w:rsidR="00F968D9" w:rsidRPr="0008263D">
        <w:rPr>
          <w:rFonts w:ascii="Century Gothic" w:hAnsi="Century Gothic"/>
          <w:sz w:val="22"/>
          <w:szCs w:val="22"/>
        </w:rPr>
        <w:t xml:space="preserve">he resourcing of the IGWC </w:t>
      </w:r>
      <w:r w:rsidRPr="0008263D">
        <w:rPr>
          <w:rFonts w:ascii="Century Gothic" w:hAnsi="Century Gothic"/>
          <w:sz w:val="22"/>
          <w:szCs w:val="22"/>
        </w:rPr>
        <w:t>has been of</w:t>
      </w:r>
      <w:r w:rsidR="00F968D9" w:rsidRPr="0008263D">
        <w:rPr>
          <w:rFonts w:ascii="Century Gothic" w:hAnsi="Century Gothic"/>
          <w:sz w:val="22"/>
          <w:szCs w:val="22"/>
        </w:rPr>
        <w:t xml:space="preserve"> staff with significant policing backgrounds</w:t>
      </w:r>
      <w:r w:rsidRPr="0008263D">
        <w:rPr>
          <w:rFonts w:ascii="Century Gothic" w:hAnsi="Century Gothic"/>
          <w:sz w:val="22"/>
          <w:szCs w:val="22"/>
        </w:rPr>
        <w:t xml:space="preserve"> – in our view, the roles of the IGWC are more technical water policy skillsets, as well as public </w:t>
      </w:r>
      <w:r w:rsidR="00E31A04" w:rsidRPr="0008263D">
        <w:rPr>
          <w:rFonts w:ascii="Century Gothic" w:hAnsi="Century Gothic"/>
          <w:sz w:val="22"/>
          <w:szCs w:val="22"/>
        </w:rPr>
        <w:t>administration.</w:t>
      </w:r>
    </w:p>
    <w:p w14:paraId="1020E422" w14:textId="6F9EE884" w:rsidR="00646D2C" w:rsidRPr="0008263D" w:rsidRDefault="00646D2C"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 xml:space="preserve">One of the challenges we have observed in the bureaucracy is </w:t>
      </w:r>
      <w:r w:rsidR="00797809" w:rsidRPr="0008263D">
        <w:rPr>
          <w:rFonts w:ascii="Century Gothic" w:hAnsi="Century Gothic"/>
          <w:sz w:val="22"/>
          <w:szCs w:val="22"/>
        </w:rPr>
        <w:t xml:space="preserve">limited technical subject-matter expertise (or long term experience over time). As noted in the Harris Review, this has resulted in some functions remaining with the MDBA which are (at this point in time) better resourced to those skillsets. </w:t>
      </w:r>
      <w:r w:rsidR="0062018D" w:rsidRPr="0008263D">
        <w:rPr>
          <w:rFonts w:ascii="Century Gothic" w:hAnsi="Century Gothic"/>
          <w:sz w:val="22"/>
          <w:szCs w:val="22"/>
        </w:rPr>
        <w:t>Consideration is required in terms of what role the IGWC is to serve, and what resources are most suitable to perform that role.</w:t>
      </w:r>
    </w:p>
    <w:p w14:paraId="7A1ABC61" w14:textId="77777777" w:rsidR="00E31A04" w:rsidRPr="0008263D" w:rsidRDefault="00E31A04" w:rsidP="00D34E51">
      <w:pPr>
        <w:pStyle w:val="ListParagraph"/>
        <w:ind w:left="792"/>
        <w:jc w:val="both"/>
        <w:rPr>
          <w:rFonts w:ascii="Century Gothic" w:hAnsi="Century Gothic"/>
          <w:sz w:val="22"/>
          <w:szCs w:val="22"/>
        </w:rPr>
      </w:pPr>
    </w:p>
    <w:p w14:paraId="3B850ED5" w14:textId="77777777" w:rsidR="00023382" w:rsidRPr="0008263D" w:rsidRDefault="00E53614"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It is noted that the IGWC was created at a time following the 4 Corners ‘Pumped’ episode, and strong public perception of water ‘mismanagement’. While having the institutions in place to ensure mismanagement is not occurring is fundamental – it must also be asked</w:t>
      </w:r>
      <w:r w:rsidR="00023382" w:rsidRPr="0008263D">
        <w:rPr>
          <w:rFonts w:ascii="Century Gothic" w:hAnsi="Century Gothic"/>
          <w:sz w:val="22"/>
          <w:szCs w:val="22"/>
        </w:rPr>
        <w:t>:</w:t>
      </w:r>
    </w:p>
    <w:p w14:paraId="2936B7FE" w14:textId="2B0C5D51" w:rsidR="00E53614" w:rsidRPr="0008263D" w:rsidRDefault="00E31A04"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Is</w:t>
      </w:r>
      <w:r w:rsidR="00E53614" w:rsidRPr="0008263D">
        <w:rPr>
          <w:rFonts w:ascii="Century Gothic" w:hAnsi="Century Gothic"/>
          <w:sz w:val="22"/>
          <w:szCs w:val="22"/>
        </w:rPr>
        <w:t xml:space="preserve"> ‘mismanagement’ occurring to the extent it was perceived to be at the time the role was established</w:t>
      </w:r>
      <w:r w:rsidRPr="0008263D">
        <w:rPr>
          <w:rFonts w:ascii="Century Gothic" w:hAnsi="Century Gothic"/>
          <w:sz w:val="22"/>
          <w:szCs w:val="22"/>
        </w:rPr>
        <w:t>?</w:t>
      </w:r>
      <w:r w:rsidR="00E53614" w:rsidRPr="0008263D">
        <w:rPr>
          <w:rFonts w:ascii="Century Gothic" w:hAnsi="Century Gothic"/>
          <w:sz w:val="22"/>
          <w:szCs w:val="22"/>
        </w:rPr>
        <w:t xml:space="preserve"> </w:t>
      </w:r>
      <w:r w:rsidR="00E50EAE" w:rsidRPr="0008263D">
        <w:rPr>
          <w:rFonts w:ascii="Century Gothic" w:hAnsi="Century Gothic"/>
          <w:sz w:val="22"/>
          <w:szCs w:val="22"/>
        </w:rPr>
        <w:t xml:space="preserve">Is the role justified, to the extent and nature to which it has been established? </w:t>
      </w:r>
    </w:p>
    <w:p w14:paraId="743488A1" w14:textId="538581D9" w:rsidR="00997906" w:rsidRPr="0008263D" w:rsidRDefault="00997906" w:rsidP="00D34E51">
      <w:pPr>
        <w:pStyle w:val="ListParagraph"/>
        <w:numPr>
          <w:ilvl w:val="1"/>
          <w:numId w:val="1"/>
        </w:numPr>
        <w:jc w:val="both"/>
        <w:rPr>
          <w:rFonts w:ascii="Century Gothic" w:hAnsi="Century Gothic"/>
          <w:sz w:val="22"/>
          <w:szCs w:val="22"/>
        </w:rPr>
      </w:pPr>
      <w:r w:rsidRPr="0008263D">
        <w:rPr>
          <w:rFonts w:ascii="Century Gothic" w:hAnsi="Century Gothic"/>
          <w:sz w:val="22"/>
          <w:szCs w:val="22"/>
        </w:rPr>
        <w:t>To what extent could this be managed by other functions and agencies of the Commonwealth already established, with a broader remit than just water</w:t>
      </w:r>
      <w:r w:rsidR="00FA7467" w:rsidRPr="0008263D">
        <w:rPr>
          <w:rFonts w:ascii="Century Gothic" w:hAnsi="Century Gothic"/>
          <w:sz w:val="22"/>
          <w:szCs w:val="22"/>
        </w:rPr>
        <w:t xml:space="preserve"> (</w:t>
      </w:r>
      <w:r w:rsidRPr="0008263D">
        <w:rPr>
          <w:rFonts w:ascii="Century Gothic" w:hAnsi="Century Gothic"/>
          <w:sz w:val="22"/>
          <w:szCs w:val="22"/>
        </w:rPr>
        <w:t>such as the Auditor-General</w:t>
      </w:r>
      <w:r w:rsidR="00FA7467" w:rsidRPr="0008263D">
        <w:rPr>
          <w:rFonts w:ascii="Century Gothic" w:hAnsi="Century Gothic"/>
          <w:sz w:val="22"/>
          <w:szCs w:val="22"/>
        </w:rPr>
        <w:t>, amongst others)</w:t>
      </w:r>
      <w:r w:rsidRPr="0008263D">
        <w:rPr>
          <w:rFonts w:ascii="Century Gothic" w:hAnsi="Century Gothic"/>
          <w:sz w:val="22"/>
          <w:szCs w:val="22"/>
        </w:rPr>
        <w:t xml:space="preserve">? Would this assist to reduce </w:t>
      </w:r>
      <w:r w:rsidR="00675D10" w:rsidRPr="0008263D">
        <w:rPr>
          <w:rFonts w:ascii="Century Gothic" w:hAnsi="Century Gothic"/>
          <w:sz w:val="22"/>
          <w:szCs w:val="22"/>
        </w:rPr>
        <w:t xml:space="preserve">duplication and </w:t>
      </w:r>
      <w:r w:rsidRPr="0008263D">
        <w:rPr>
          <w:rFonts w:ascii="Century Gothic" w:hAnsi="Century Gothic"/>
          <w:sz w:val="22"/>
          <w:szCs w:val="22"/>
        </w:rPr>
        <w:t>complexity in water management structures, and improve efficiency, compared to a dedicated water office?</w:t>
      </w:r>
    </w:p>
    <w:p w14:paraId="4055B8FD" w14:textId="5FF92082" w:rsidR="00E53614" w:rsidRPr="0008263D" w:rsidRDefault="00997906" w:rsidP="00D34E51">
      <w:pPr>
        <w:pStyle w:val="ListParagraph"/>
        <w:numPr>
          <w:ilvl w:val="1"/>
          <w:numId w:val="1"/>
        </w:numPr>
        <w:jc w:val="both"/>
        <w:rPr>
          <w:rFonts w:ascii="Century Gothic" w:hAnsi="Century Gothic"/>
          <w:i/>
          <w:iCs/>
          <w:sz w:val="22"/>
          <w:szCs w:val="22"/>
        </w:rPr>
      </w:pPr>
      <w:r w:rsidRPr="0008263D">
        <w:rPr>
          <w:rFonts w:ascii="Century Gothic" w:hAnsi="Century Gothic"/>
          <w:sz w:val="22"/>
          <w:szCs w:val="22"/>
        </w:rPr>
        <w:t xml:space="preserve">Note: </w:t>
      </w:r>
      <w:r w:rsidR="00E53614" w:rsidRPr="0008263D">
        <w:rPr>
          <w:rFonts w:ascii="Century Gothic" w:hAnsi="Century Gothic"/>
          <w:sz w:val="22"/>
          <w:szCs w:val="22"/>
        </w:rPr>
        <w:t>This was similarly observed in the non-statutory review, stating: “</w:t>
      </w:r>
      <w:r w:rsidR="00E53614" w:rsidRPr="0008263D">
        <w:rPr>
          <w:rFonts w:ascii="Century Gothic" w:hAnsi="Century Gothic"/>
          <w:i/>
          <w:iCs/>
          <w:sz w:val="22"/>
          <w:szCs w:val="22"/>
        </w:rPr>
        <w:t xml:space="preserve">the use of ‘tough cop on the beat’ language – is a popular political device. This was understandable in the development phase of the IGWC, due to the </w:t>
      </w:r>
      <w:r w:rsidR="00E53614" w:rsidRPr="0008263D">
        <w:rPr>
          <w:rFonts w:ascii="Century Gothic" w:hAnsi="Century Gothic"/>
          <w:i/>
          <w:iCs/>
          <w:sz w:val="22"/>
          <w:szCs w:val="22"/>
        </w:rPr>
        <w:lastRenderedPageBreak/>
        <w:t>circumstances in which the need for upgraded compliance efforts came to public attention via the 4 Corners program “Pumped”, but today can create some misconceptions… The IGWC is in fact less a policeman and more an investigator”.</w:t>
      </w:r>
      <w:r w:rsidR="00E53614" w:rsidRPr="0008263D">
        <w:rPr>
          <w:rStyle w:val="FootnoteReference"/>
          <w:rFonts w:ascii="Century Gothic" w:hAnsi="Century Gothic"/>
          <w:i/>
          <w:iCs/>
          <w:sz w:val="22"/>
          <w:szCs w:val="22"/>
        </w:rPr>
        <w:footnoteReference w:id="3"/>
      </w:r>
    </w:p>
    <w:p w14:paraId="695BA235" w14:textId="77777777" w:rsidR="00675D10" w:rsidRPr="0008263D" w:rsidRDefault="00675D10" w:rsidP="00D34E51">
      <w:pPr>
        <w:pStyle w:val="ListParagraph"/>
        <w:ind w:left="792"/>
        <w:jc w:val="both"/>
        <w:rPr>
          <w:rFonts w:ascii="Century Gothic" w:hAnsi="Century Gothic"/>
          <w:i/>
          <w:iCs/>
          <w:sz w:val="22"/>
          <w:szCs w:val="22"/>
        </w:rPr>
      </w:pPr>
    </w:p>
    <w:p w14:paraId="376AA3E2" w14:textId="74FC76B8" w:rsidR="00A42E37" w:rsidRPr="0008263D" w:rsidRDefault="000F464D"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T</w:t>
      </w:r>
      <w:r w:rsidR="00A42E37" w:rsidRPr="0008263D">
        <w:rPr>
          <w:rFonts w:ascii="Century Gothic" w:hAnsi="Century Gothic"/>
          <w:sz w:val="22"/>
          <w:szCs w:val="22"/>
        </w:rPr>
        <w:t xml:space="preserve">here have been occasions where the role of the IGWC has been viewed by stakeholders as being highly politicised, with ‘stunts’ used to gain political traction. This has included misleading reports and announcements, that make a news headline, but offer little constructive momentum to resolving the issues, or nuance in accurately capturing the circumstances. Contrary to the role of building confidence, these actions serve to diminish confidence, often unfairly so. </w:t>
      </w:r>
    </w:p>
    <w:tbl>
      <w:tblPr>
        <w:tblStyle w:val="TableGrid"/>
        <w:tblW w:w="0" w:type="auto"/>
        <w:tblLook w:val="04A0" w:firstRow="1" w:lastRow="0" w:firstColumn="1" w:lastColumn="0" w:noHBand="0" w:noVBand="1"/>
      </w:tblPr>
      <w:tblGrid>
        <w:gridCol w:w="9016"/>
      </w:tblGrid>
      <w:tr w:rsidR="00562F03" w:rsidRPr="0008263D" w14:paraId="6E569E5F" w14:textId="77777777" w:rsidTr="00724323">
        <w:tc>
          <w:tcPr>
            <w:tcW w:w="9016" w:type="dxa"/>
            <w:shd w:val="clear" w:color="auto" w:fill="DAE9F7" w:themeFill="text2" w:themeFillTint="1A"/>
          </w:tcPr>
          <w:p w14:paraId="39528567" w14:textId="77777777" w:rsidR="00562F03" w:rsidRPr="0008263D" w:rsidRDefault="00562F03" w:rsidP="00D34E51">
            <w:pPr>
              <w:jc w:val="both"/>
              <w:rPr>
                <w:rFonts w:ascii="Century Gothic" w:hAnsi="Century Gothic"/>
                <w:sz w:val="22"/>
                <w:szCs w:val="22"/>
              </w:rPr>
            </w:pPr>
            <w:r w:rsidRPr="0008263D">
              <w:rPr>
                <w:rFonts w:ascii="Century Gothic" w:hAnsi="Century Gothic"/>
                <w:sz w:val="22"/>
                <w:szCs w:val="22"/>
              </w:rPr>
              <w:t>Case study: Approach to NSW SDL Compliance in IGWC Compliance Statement</w:t>
            </w:r>
          </w:p>
          <w:p w14:paraId="4E6E3BD3" w14:textId="77777777" w:rsidR="00562F03" w:rsidRPr="0008263D" w:rsidRDefault="00562F03" w:rsidP="00D34E51">
            <w:pPr>
              <w:jc w:val="both"/>
              <w:rPr>
                <w:rFonts w:ascii="Century Gothic" w:hAnsi="Century Gothic"/>
                <w:sz w:val="22"/>
                <w:szCs w:val="22"/>
              </w:rPr>
            </w:pPr>
          </w:p>
          <w:p w14:paraId="345C996C" w14:textId="77777777" w:rsidR="0072530B" w:rsidRPr="0008263D" w:rsidRDefault="0072530B" w:rsidP="00D34E51">
            <w:pPr>
              <w:pStyle w:val="ListParagraph"/>
              <w:numPr>
                <w:ilvl w:val="0"/>
                <w:numId w:val="2"/>
              </w:numPr>
              <w:jc w:val="both"/>
              <w:rPr>
                <w:rFonts w:ascii="Century Gothic" w:hAnsi="Century Gothic"/>
                <w:i/>
                <w:iCs/>
                <w:sz w:val="22"/>
                <w:szCs w:val="22"/>
              </w:rPr>
            </w:pPr>
            <w:r w:rsidRPr="0008263D">
              <w:rPr>
                <w:rFonts w:ascii="Century Gothic" w:hAnsi="Century Gothic"/>
                <w:sz w:val="22"/>
                <w:szCs w:val="22"/>
              </w:rPr>
              <w:t xml:space="preserve">Due to delays in the accreditation of NSW Water Resource Plans (WRPs), the IGWC </w:t>
            </w:r>
            <w:r w:rsidRPr="0008263D">
              <w:rPr>
                <w:rFonts w:ascii="Century Gothic" w:hAnsi="Century Gothic"/>
                <w:i/>
                <w:iCs/>
                <w:sz w:val="22"/>
                <w:szCs w:val="22"/>
              </w:rPr>
              <w:t>SDL Compliance Statements</w:t>
            </w:r>
            <w:r w:rsidRPr="0008263D">
              <w:rPr>
                <w:rFonts w:ascii="Century Gothic" w:hAnsi="Century Gothic"/>
                <w:sz w:val="22"/>
                <w:szCs w:val="22"/>
              </w:rPr>
              <w:t xml:space="preserve"> have been problematic. </w:t>
            </w:r>
          </w:p>
          <w:p w14:paraId="4C4416BF" w14:textId="152073F7" w:rsidR="0072530B" w:rsidRPr="0008263D" w:rsidRDefault="0072530B" w:rsidP="00D34E51">
            <w:pPr>
              <w:pStyle w:val="ListParagraph"/>
              <w:numPr>
                <w:ilvl w:val="0"/>
                <w:numId w:val="2"/>
              </w:numPr>
              <w:jc w:val="both"/>
              <w:rPr>
                <w:rFonts w:ascii="Century Gothic" w:hAnsi="Century Gothic"/>
                <w:i/>
                <w:iCs/>
                <w:sz w:val="22"/>
                <w:szCs w:val="22"/>
              </w:rPr>
            </w:pPr>
            <w:r w:rsidRPr="0008263D">
              <w:rPr>
                <w:rFonts w:ascii="Century Gothic" w:hAnsi="Century Gothic"/>
                <w:sz w:val="22"/>
                <w:szCs w:val="22"/>
              </w:rPr>
              <w:t>For example, language used included “</w:t>
            </w:r>
            <w:r w:rsidRPr="0008263D">
              <w:rPr>
                <w:rFonts w:ascii="Century Gothic" w:hAnsi="Century Gothic"/>
                <w:i/>
                <w:iCs/>
                <w:sz w:val="22"/>
                <w:szCs w:val="22"/>
              </w:rPr>
              <w:t xml:space="preserve">Disappointingly, 54 SDL resource units in New South Wales (10 surface water and 44 groundwater) are </w:t>
            </w:r>
            <w:r w:rsidRPr="0008263D">
              <w:rPr>
                <w:rFonts w:ascii="Century Gothic" w:hAnsi="Century Gothic"/>
                <w:i/>
                <w:iCs/>
                <w:sz w:val="22"/>
                <w:szCs w:val="22"/>
                <w:u w:val="single"/>
              </w:rPr>
              <w:t>not currently subject to SDL compliance</w:t>
            </w:r>
            <w:r w:rsidRPr="0008263D">
              <w:rPr>
                <w:rFonts w:ascii="Century Gothic" w:hAnsi="Century Gothic"/>
                <w:i/>
                <w:iCs/>
                <w:sz w:val="22"/>
                <w:szCs w:val="22"/>
              </w:rPr>
              <w:t xml:space="preserve"> or enforcement by the Inspector-General, as there are no accredited Water Resource Plans in place</w:t>
            </w:r>
            <w:r w:rsidRPr="0008263D">
              <w:rPr>
                <w:rFonts w:ascii="Century Gothic" w:hAnsi="Century Gothic"/>
                <w:sz w:val="22"/>
                <w:szCs w:val="22"/>
              </w:rPr>
              <w:t>”</w:t>
            </w:r>
            <w:r w:rsidRPr="0008263D">
              <w:rPr>
                <w:rStyle w:val="FootnoteReference"/>
                <w:rFonts w:ascii="Century Gothic" w:hAnsi="Century Gothic"/>
                <w:sz w:val="22"/>
                <w:szCs w:val="22"/>
              </w:rPr>
              <w:footnoteReference w:id="4"/>
            </w:r>
            <w:r w:rsidRPr="0008263D">
              <w:rPr>
                <w:rFonts w:ascii="Century Gothic" w:hAnsi="Century Gothic"/>
                <w:sz w:val="22"/>
                <w:szCs w:val="22"/>
              </w:rPr>
              <w:t>. While statements like this (correctly) referred to the technicality of the IGWC role in SDL reporting being linked to WRP accreditation, it was widely interpreted that ‘NSW is not subject to SDL compliance’.</w:t>
            </w:r>
            <w:r w:rsidR="003405FA" w:rsidRPr="0008263D">
              <w:rPr>
                <w:rFonts w:ascii="Century Gothic" w:hAnsi="Century Gothic"/>
                <w:sz w:val="22"/>
                <w:szCs w:val="22"/>
              </w:rPr>
              <w:t xml:space="preserve"> T</w:t>
            </w:r>
            <w:r w:rsidRPr="0008263D">
              <w:rPr>
                <w:rFonts w:ascii="Century Gothic" w:hAnsi="Century Gothic"/>
                <w:sz w:val="22"/>
                <w:szCs w:val="22"/>
              </w:rPr>
              <w:t>he same report continued to say “</w:t>
            </w:r>
            <w:r w:rsidRPr="0008263D">
              <w:rPr>
                <w:rFonts w:ascii="Century Gothic" w:hAnsi="Century Gothic"/>
                <w:i/>
                <w:iCs/>
                <w:sz w:val="22"/>
                <w:szCs w:val="22"/>
              </w:rPr>
              <w:t>Consequently, there is no ability to enforce SDLs in NSW</w:t>
            </w:r>
            <w:r w:rsidRPr="0008263D">
              <w:rPr>
                <w:rFonts w:ascii="Century Gothic" w:hAnsi="Century Gothic"/>
                <w:sz w:val="22"/>
                <w:szCs w:val="22"/>
              </w:rPr>
              <w:t>”</w:t>
            </w:r>
            <w:r w:rsidRPr="0008263D">
              <w:rPr>
                <w:rStyle w:val="FootnoteReference"/>
                <w:rFonts w:ascii="Century Gothic" w:hAnsi="Century Gothic"/>
                <w:sz w:val="22"/>
                <w:szCs w:val="22"/>
              </w:rPr>
              <w:footnoteReference w:id="5"/>
            </w:r>
            <w:r w:rsidRPr="0008263D">
              <w:rPr>
                <w:rFonts w:ascii="Century Gothic" w:hAnsi="Century Gothic"/>
                <w:sz w:val="22"/>
                <w:szCs w:val="22"/>
              </w:rPr>
              <w:t xml:space="preserve"> which is not correct, or at least only as correct as the same limited ability of all other Basin States.  The Registers of Take for NSW were not included in the SDL Compliance Statement</w:t>
            </w:r>
            <w:r w:rsidR="002347A4" w:rsidRPr="0008263D">
              <w:rPr>
                <w:rFonts w:ascii="Century Gothic" w:hAnsi="Century Gothic"/>
                <w:sz w:val="22"/>
                <w:szCs w:val="22"/>
              </w:rPr>
              <w:t xml:space="preserve"> alongside other States. </w:t>
            </w:r>
            <w:r w:rsidRPr="0008263D">
              <w:rPr>
                <w:rFonts w:ascii="Century Gothic" w:hAnsi="Century Gothic"/>
                <w:sz w:val="22"/>
                <w:szCs w:val="22"/>
              </w:rPr>
              <w:t xml:space="preserve"> </w:t>
            </w:r>
          </w:p>
          <w:p w14:paraId="6B2978B9" w14:textId="6ADAE3A2" w:rsidR="0072530B" w:rsidRPr="0008263D" w:rsidRDefault="0072530B" w:rsidP="00D34E51">
            <w:pPr>
              <w:pStyle w:val="ListParagraph"/>
              <w:numPr>
                <w:ilvl w:val="0"/>
                <w:numId w:val="2"/>
              </w:numPr>
              <w:jc w:val="both"/>
              <w:rPr>
                <w:rFonts w:ascii="Century Gothic" w:hAnsi="Century Gothic"/>
                <w:i/>
                <w:iCs/>
                <w:sz w:val="22"/>
                <w:szCs w:val="22"/>
              </w:rPr>
            </w:pPr>
            <w:r w:rsidRPr="0008263D">
              <w:rPr>
                <w:rFonts w:ascii="Century Gothic" w:hAnsi="Century Gothic"/>
                <w:sz w:val="22"/>
                <w:szCs w:val="22"/>
              </w:rPr>
              <w:t xml:space="preserve">The outcome of these statements was significant media and public backlash against water management in NSW, and indirectly, water users in NSW – </w:t>
            </w:r>
            <w:r w:rsidR="001835F4" w:rsidRPr="0008263D">
              <w:rPr>
                <w:rFonts w:ascii="Century Gothic" w:hAnsi="Century Gothic"/>
                <w:sz w:val="22"/>
                <w:szCs w:val="22"/>
              </w:rPr>
              <w:t xml:space="preserve">as it created a public perception that NSW was not complying with SDLs, and did not have to (which is not correct). This </w:t>
            </w:r>
            <w:r w:rsidRPr="0008263D">
              <w:rPr>
                <w:rFonts w:ascii="Century Gothic" w:hAnsi="Century Gothic"/>
                <w:sz w:val="22"/>
                <w:szCs w:val="22"/>
              </w:rPr>
              <w:t>unfairly undermin</w:t>
            </w:r>
            <w:r w:rsidR="001835F4" w:rsidRPr="0008263D">
              <w:rPr>
                <w:rFonts w:ascii="Century Gothic" w:hAnsi="Century Gothic"/>
                <w:sz w:val="22"/>
                <w:szCs w:val="22"/>
              </w:rPr>
              <w:t>ed</w:t>
            </w:r>
            <w:r w:rsidRPr="0008263D">
              <w:rPr>
                <w:rFonts w:ascii="Century Gothic" w:hAnsi="Century Gothic"/>
                <w:sz w:val="22"/>
                <w:szCs w:val="22"/>
              </w:rPr>
              <w:t xml:space="preserve"> confidence in water management. It was left to industry, NSW Government and the MDBA to correct the record that the NSW was the subject to NSW compliance, it was just managed via a different process (a bilateral agreement), and full compliance was occurring. </w:t>
            </w:r>
          </w:p>
          <w:p w14:paraId="31093B28" w14:textId="6CC7E6AC" w:rsidR="0072530B" w:rsidRPr="0008263D" w:rsidRDefault="0072530B" w:rsidP="00D34E51">
            <w:pPr>
              <w:pStyle w:val="ListParagraph"/>
              <w:numPr>
                <w:ilvl w:val="0"/>
                <w:numId w:val="2"/>
              </w:numPr>
              <w:jc w:val="both"/>
              <w:rPr>
                <w:rFonts w:ascii="Century Gothic" w:hAnsi="Century Gothic"/>
                <w:i/>
                <w:iCs/>
                <w:sz w:val="22"/>
                <w:szCs w:val="22"/>
              </w:rPr>
            </w:pPr>
            <w:r w:rsidRPr="0008263D">
              <w:rPr>
                <w:rFonts w:ascii="Century Gothic" w:hAnsi="Century Gothic"/>
                <w:sz w:val="22"/>
                <w:szCs w:val="22"/>
              </w:rPr>
              <w:t>A more appropriate course of action, in our view, would have been for the IGWC to include the data from the Registers of Take provided from the MDBA</w:t>
            </w:r>
            <w:r w:rsidR="00E55FDB" w:rsidRPr="0008263D">
              <w:rPr>
                <w:rFonts w:ascii="Century Gothic" w:hAnsi="Century Gothic"/>
                <w:sz w:val="22"/>
                <w:szCs w:val="22"/>
              </w:rPr>
              <w:t xml:space="preserve"> for the full Basin</w:t>
            </w:r>
            <w:r w:rsidRPr="0008263D">
              <w:rPr>
                <w:rFonts w:ascii="Century Gothic" w:hAnsi="Century Gothic"/>
                <w:sz w:val="22"/>
                <w:szCs w:val="22"/>
              </w:rPr>
              <w:t xml:space="preserve">, with a description on the alternative arrangements in place for NSW for the interim. It would be reasonable, in our view, to still outline the delays with WRP accreditation and ramifications of that. Doing so this way would have identified the issues with NSW WRP accreditation, while still fairly and accurately reporting on the current status of NSW SDL compliance. </w:t>
            </w:r>
          </w:p>
          <w:p w14:paraId="425C69E0" w14:textId="180D5367" w:rsidR="00562F03" w:rsidRPr="0008263D" w:rsidRDefault="0072530B" w:rsidP="00D34E51">
            <w:pPr>
              <w:pStyle w:val="ListParagraph"/>
              <w:numPr>
                <w:ilvl w:val="0"/>
                <w:numId w:val="2"/>
              </w:numPr>
              <w:jc w:val="both"/>
              <w:rPr>
                <w:rFonts w:ascii="Century Gothic" w:hAnsi="Century Gothic"/>
                <w:i/>
                <w:iCs/>
                <w:sz w:val="22"/>
                <w:szCs w:val="22"/>
              </w:rPr>
            </w:pPr>
            <w:r w:rsidRPr="0008263D">
              <w:rPr>
                <w:rFonts w:ascii="Century Gothic" w:hAnsi="Century Gothic"/>
                <w:sz w:val="22"/>
                <w:szCs w:val="22"/>
              </w:rPr>
              <w:t>This issue has continued, as even in later years, NSW is greyed-out of maps</w:t>
            </w:r>
            <w:r w:rsidR="00724323" w:rsidRPr="0008263D">
              <w:rPr>
                <w:rFonts w:ascii="Century Gothic" w:hAnsi="Century Gothic"/>
                <w:sz w:val="22"/>
                <w:szCs w:val="22"/>
              </w:rPr>
              <w:t xml:space="preserve"> showing SDL compliance in the Basin</w:t>
            </w:r>
            <w:r w:rsidRPr="0008263D">
              <w:rPr>
                <w:rFonts w:ascii="Century Gothic" w:hAnsi="Century Gothic"/>
                <w:sz w:val="22"/>
                <w:szCs w:val="22"/>
              </w:rPr>
              <w:t xml:space="preserve">. While again we appreciate there are technical challenges – it would be much more constructive for the IGWC to still indicate that SDL compliance is occurring (albeit under different arrangements), to prevent the risk of misinterpretation. </w:t>
            </w:r>
          </w:p>
        </w:tc>
      </w:tr>
    </w:tbl>
    <w:p w14:paraId="50BC08FE" w14:textId="77777777" w:rsidR="00784012" w:rsidRPr="0008263D" w:rsidRDefault="00784012" w:rsidP="00D34E51">
      <w:pPr>
        <w:jc w:val="both"/>
        <w:rPr>
          <w:rFonts w:ascii="Century Gothic" w:hAnsi="Century Gothic"/>
          <w:sz w:val="22"/>
          <w:szCs w:val="22"/>
        </w:rPr>
      </w:pPr>
    </w:p>
    <w:p w14:paraId="75CB0626" w14:textId="45346F68" w:rsidR="00784012" w:rsidRPr="0008263D" w:rsidRDefault="00784012"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NIC is concerned that there is confusion regarding the role of the IGWC, as ‘compliance’ is typically used to refer to water users complying with water laws, which is separate to the compliance of Basin states and oversight of public agencies managing water.  Clarity about the role of the IGWC – distinct from state agencies (such as the Natural Resources Access Regulatory in NSW) is important.</w:t>
      </w:r>
    </w:p>
    <w:p w14:paraId="32D9ED90" w14:textId="0FD82D7B" w:rsidR="003D1F0D" w:rsidRPr="0008263D" w:rsidRDefault="003D1F0D" w:rsidP="00D34E51">
      <w:pPr>
        <w:pStyle w:val="ListParagraph"/>
        <w:ind w:left="360"/>
        <w:jc w:val="both"/>
        <w:rPr>
          <w:rFonts w:ascii="Century Gothic" w:hAnsi="Century Gothic"/>
          <w:sz w:val="22"/>
          <w:szCs w:val="22"/>
        </w:rPr>
      </w:pPr>
    </w:p>
    <w:p w14:paraId="4524F0EE" w14:textId="53C8AFED" w:rsidR="00D34E51" w:rsidRPr="0008263D" w:rsidRDefault="003D1F0D" w:rsidP="00D34E51">
      <w:pPr>
        <w:pStyle w:val="ListParagraph"/>
        <w:numPr>
          <w:ilvl w:val="0"/>
          <w:numId w:val="1"/>
        </w:numPr>
        <w:jc w:val="both"/>
        <w:rPr>
          <w:rFonts w:ascii="Century Gothic" w:hAnsi="Century Gothic"/>
          <w:sz w:val="22"/>
          <w:szCs w:val="22"/>
        </w:rPr>
      </w:pPr>
      <w:r w:rsidRPr="0008263D">
        <w:rPr>
          <w:rFonts w:ascii="Century Gothic" w:hAnsi="Century Gothic"/>
          <w:sz w:val="22"/>
          <w:szCs w:val="22"/>
        </w:rPr>
        <w:t xml:space="preserve">It is noted in the Harris Review that </w:t>
      </w:r>
      <w:r w:rsidR="001314C4" w:rsidRPr="0008263D">
        <w:rPr>
          <w:rFonts w:ascii="Century Gothic" w:hAnsi="Century Gothic"/>
          <w:sz w:val="22"/>
          <w:szCs w:val="22"/>
        </w:rPr>
        <w:t>“</w:t>
      </w:r>
      <w:r w:rsidR="001314C4" w:rsidRPr="0008263D">
        <w:rPr>
          <w:rFonts w:ascii="Century Gothic" w:hAnsi="Century Gothic"/>
          <w:i/>
          <w:iCs/>
          <w:sz w:val="22"/>
          <w:szCs w:val="22"/>
        </w:rPr>
        <w:t>the IGWC has submitted that it is affected in exercising its independence by the administrative structure in which is set up</w:t>
      </w:r>
      <w:r w:rsidR="001314C4" w:rsidRPr="0008263D">
        <w:rPr>
          <w:rFonts w:ascii="Century Gothic" w:hAnsi="Century Gothic"/>
          <w:sz w:val="22"/>
          <w:szCs w:val="22"/>
        </w:rPr>
        <w:t>.”</w:t>
      </w:r>
      <w:r w:rsidR="001314C4" w:rsidRPr="0008263D">
        <w:rPr>
          <w:rStyle w:val="FootnoteReference"/>
          <w:rFonts w:ascii="Century Gothic" w:hAnsi="Century Gothic"/>
          <w:sz w:val="22"/>
          <w:szCs w:val="22"/>
        </w:rPr>
        <w:footnoteReference w:id="6"/>
      </w:r>
      <w:r w:rsidR="00B74981" w:rsidRPr="0008263D">
        <w:rPr>
          <w:rFonts w:ascii="Century Gothic" w:hAnsi="Century Gothic"/>
          <w:sz w:val="22"/>
          <w:szCs w:val="22"/>
        </w:rPr>
        <w:t xml:space="preserve"> We also note the concerns raised in that report regarding fully administ</w:t>
      </w:r>
      <w:r w:rsidR="0075581E" w:rsidRPr="0008263D">
        <w:rPr>
          <w:rFonts w:ascii="Century Gothic" w:hAnsi="Century Gothic"/>
          <w:sz w:val="22"/>
          <w:szCs w:val="22"/>
        </w:rPr>
        <w:t xml:space="preserve">ering an independent entity </w:t>
      </w:r>
      <w:r w:rsidR="00B74981" w:rsidRPr="0008263D">
        <w:rPr>
          <w:rFonts w:ascii="Century Gothic" w:hAnsi="Century Gothic"/>
          <w:sz w:val="22"/>
          <w:szCs w:val="22"/>
        </w:rPr>
        <w:t xml:space="preserve">would be expensive and beyond the control of the water portfolio. </w:t>
      </w:r>
      <w:r w:rsidR="00671872" w:rsidRPr="0008263D">
        <w:rPr>
          <w:rFonts w:ascii="Century Gothic" w:hAnsi="Century Gothic"/>
          <w:sz w:val="22"/>
          <w:szCs w:val="22"/>
        </w:rPr>
        <w:t>This is an important decision-point regarding the future role of the IGWC</w:t>
      </w:r>
      <w:r w:rsidR="0075581E" w:rsidRPr="0008263D">
        <w:rPr>
          <w:rFonts w:ascii="Century Gothic" w:hAnsi="Century Gothic"/>
          <w:sz w:val="22"/>
          <w:szCs w:val="22"/>
        </w:rPr>
        <w:t>, and will require assessing the necessity</w:t>
      </w:r>
      <w:r w:rsidR="0024725F" w:rsidRPr="0008263D">
        <w:rPr>
          <w:rFonts w:ascii="Century Gothic" w:hAnsi="Century Gothic"/>
          <w:sz w:val="22"/>
          <w:szCs w:val="22"/>
        </w:rPr>
        <w:t>, in the context of what current arrangements are able to deliver</w:t>
      </w:r>
      <w:r w:rsidR="00671872" w:rsidRPr="0008263D">
        <w:rPr>
          <w:rFonts w:ascii="Century Gothic" w:hAnsi="Century Gothic"/>
          <w:sz w:val="22"/>
          <w:szCs w:val="22"/>
        </w:rPr>
        <w:t xml:space="preserve">. </w:t>
      </w:r>
      <w:r w:rsidR="00FE0788" w:rsidRPr="0008263D">
        <w:rPr>
          <w:rFonts w:ascii="Century Gothic" w:hAnsi="Century Gothic"/>
          <w:sz w:val="22"/>
          <w:szCs w:val="22"/>
        </w:rPr>
        <w:t xml:space="preserve">It is also noted an original intention of the establishment of the MDBA was to be an independent authority, </w:t>
      </w:r>
      <w:r w:rsidR="009C5B9D" w:rsidRPr="0008263D">
        <w:rPr>
          <w:rFonts w:ascii="Century Gothic" w:hAnsi="Century Gothic"/>
          <w:sz w:val="22"/>
          <w:szCs w:val="22"/>
        </w:rPr>
        <w:t>separate from the Department and Government of the day. There is a feeling of ‘going in circles’</w:t>
      </w:r>
      <w:r w:rsidR="00D34E51" w:rsidRPr="0008263D">
        <w:rPr>
          <w:rFonts w:ascii="Century Gothic" w:hAnsi="Century Gothic"/>
          <w:sz w:val="22"/>
          <w:szCs w:val="22"/>
        </w:rPr>
        <w:t xml:space="preserve">, which will be an important issue for this Review to consider. </w:t>
      </w:r>
    </w:p>
    <w:p w14:paraId="13E8EE22" w14:textId="08AC594B" w:rsidR="00D34E51" w:rsidRPr="009F4DBF" w:rsidRDefault="00D34E51" w:rsidP="00D34E51">
      <w:pPr>
        <w:pStyle w:val="Heading1"/>
        <w:rPr>
          <w:rFonts w:ascii="Century Gothic" w:hAnsi="Century Gothic"/>
        </w:rPr>
      </w:pPr>
      <w:r w:rsidRPr="009F4DBF">
        <w:rPr>
          <w:rFonts w:ascii="Century Gothic" w:hAnsi="Century Gothic"/>
        </w:rPr>
        <w:t>Conclusion</w:t>
      </w:r>
    </w:p>
    <w:p w14:paraId="73B864EE" w14:textId="6934F169" w:rsidR="00D34E51" w:rsidRPr="0008263D" w:rsidRDefault="00D34E51" w:rsidP="0008263D">
      <w:pPr>
        <w:jc w:val="both"/>
        <w:rPr>
          <w:rFonts w:ascii="Century Gothic" w:hAnsi="Century Gothic"/>
          <w:sz w:val="22"/>
          <w:szCs w:val="22"/>
        </w:rPr>
      </w:pPr>
      <w:r w:rsidRPr="0008263D">
        <w:rPr>
          <w:rFonts w:ascii="Century Gothic" w:hAnsi="Century Gothic"/>
          <w:sz w:val="22"/>
          <w:szCs w:val="22"/>
        </w:rPr>
        <w:t>Thank you for your consideration of the matters raised in this brief submission. NIC and our team are available to meet if you wish to discuss the matters raised in further detail.</w:t>
      </w:r>
    </w:p>
    <w:p w14:paraId="35BD465A" w14:textId="77777777" w:rsidR="00D34E51" w:rsidRDefault="00D34E51" w:rsidP="00D34E51">
      <w:pPr>
        <w:rPr>
          <w:rFonts w:ascii="Century Gothic" w:hAnsi="Century Gothic"/>
        </w:rPr>
      </w:pPr>
    </w:p>
    <w:p w14:paraId="7F851338" w14:textId="5EA15251" w:rsidR="00543861" w:rsidRPr="00543861" w:rsidRDefault="00543861" w:rsidP="00D34E51">
      <w:pPr>
        <w:rPr>
          <w:rFonts w:ascii="Century Gothic" w:hAnsi="Century Gothic"/>
          <w:b/>
          <w:bCs/>
        </w:rPr>
      </w:pPr>
      <w:r w:rsidRPr="00543861">
        <w:rPr>
          <w:rFonts w:ascii="Century Gothic" w:hAnsi="Century Gothic"/>
          <w:b/>
          <w:bCs/>
        </w:rPr>
        <w:t>Drop-in notes</w:t>
      </w:r>
      <w:r w:rsidR="00182C82">
        <w:rPr>
          <w:rFonts w:ascii="Century Gothic" w:hAnsi="Century Gothic"/>
          <w:b/>
          <w:bCs/>
        </w:rPr>
        <w:t xml:space="preserve"> (still to be added to submission)</w:t>
      </w:r>
      <w:r w:rsidRPr="00543861">
        <w:rPr>
          <w:rFonts w:ascii="Century Gothic" w:hAnsi="Century Gothic"/>
          <w:b/>
          <w:bCs/>
        </w:rPr>
        <w:t>:</w:t>
      </w:r>
    </w:p>
    <w:p w14:paraId="498ABE98" w14:textId="57F90318" w:rsidR="00D34E51" w:rsidRDefault="001819C2" w:rsidP="00787B7F">
      <w:pPr>
        <w:pStyle w:val="ListParagraph"/>
        <w:numPr>
          <w:ilvl w:val="0"/>
          <w:numId w:val="3"/>
        </w:numPr>
        <w:rPr>
          <w:rFonts w:ascii="Century Gothic" w:hAnsi="Century Gothic"/>
        </w:rPr>
      </w:pPr>
      <w:r>
        <w:rPr>
          <w:rFonts w:ascii="Century Gothic" w:hAnsi="Century Gothic"/>
        </w:rPr>
        <w:t>Long timeframes for reviews –</w:t>
      </w:r>
      <w:r w:rsidR="00706C62">
        <w:rPr>
          <w:rFonts w:ascii="Century Gothic" w:hAnsi="Century Gothic"/>
        </w:rPr>
        <w:t xml:space="preserve"> e.g. NBT review -</w:t>
      </w:r>
      <w:r>
        <w:rPr>
          <w:rFonts w:ascii="Century Gothic" w:hAnsi="Century Gothic"/>
        </w:rPr>
        <w:t xml:space="preserve"> need to be more targeted – SDL compliance too</w:t>
      </w:r>
    </w:p>
    <w:p w14:paraId="47F91582" w14:textId="464599C1" w:rsidR="001819C2" w:rsidRDefault="002F7431" w:rsidP="00787B7F">
      <w:pPr>
        <w:pStyle w:val="ListParagraph"/>
        <w:numPr>
          <w:ilvl w:val="0"/>
          <w:numId w:val="3"/>
        </w:numPr>
        <w:rPr>
          <w:rFonts w:ascii="Century Gothic" w:hAnsi="Century Gothic"/>
        </w:rPr>
      </w:pPr>
      <w:r>
        <w:rPr>
          <w:rFonts w:ascii="Century Gothic" w:hAnsi="Century Gothic"/>
        </w:rPr>
        <w:t xml:space="preserve">Need to have an answer for ‘marking their own homework’ </w:t>
      </w:r>
    </w:p>
    <w:p w14:paraId="01823F90" w14:textId="7DA895B8" w:rsidR="00B93909" w:rsidRDefault="00B93909" w:rsidP="00787B7F">
      <w:pPr>
        <w:pStyle w:val="ListParagraph"/>
        <w:numPr>
          <w:ilvl w:val="0"/>
          <w:numId w:val="3"/>
        </w:numPr>
        <w:rPr>
          <w:rFonts w:ascii="Century Gothic" w:hAnsi="Century Gothic"/>
        </w:rPr>
      </w:pPr>
      <w:r>
        <w:rPr>
          <w:rFonts w:ascii="Century Gothic" w:hAnsi="Century Gothic"/>
        </w:rPr>
        <w:t xml:space="preserve">Politicisation </w:t>
      </w:r>
      <w:r w:rsidR="002E3D0D">
        <w:rPr>
          <w:rFonts w:ascii="Century Gothic" w:hAnsi="Century Gothic"/>
        </w:rPr>
        <w:t>–</w:t>
      </w:r>
      <w:r>
        <w:rPr>
          <w:rFonts w:ascii="Century Gothic" w:hAnsi="Century Gothic"/>
        </w:rPr>
        <w:t xml:space="preserve"> </w:t>
      </w:r>
      <w:r w:rsidR="002E3D0D">
        <w:rPr>
          <w:rFonts w:ascii="Century Gothic" w:hAnsi="Century Gothic"/>
        </w:rPr>
        <w:t>still reports to Minister</w:t>
      </w:r>
    </w:p>
    <w:p w14:paraId="22CD8417" w14:textId="7E7D6558" w:rsidR="001D67A8" w:rsidRDefault="001D67A8" w:rsidP="00787B7F">
      <w:pPr>
        <w:pStyle w:val="ListParagraph"/>
        <w:numPr>
          <w:ilvl w:val="0"/>
          <w:numId w:val="3"/>
        </w:numPr>
        <w:rPr>
          <w:rFonts w:ascii="Century Gothic" w:hAnsi="Century Gothic"/>
        </w:rPr>
      </w:pPr>
      <w:r>
        <w:rPr>
          <w:rFonts w:ascii="Century Gothic" w:hAnsi="Century Gothic"/>
        </w:rPr>
        <w:t xml:space="preserve">Intent is there, but not being implemented </w:t>
      </w:r>
    </w:p>
    <w:p w14:paraId="5341E7C0" w14:textId="5CF49C70" w:rsidR="00CE4FE0" w:rsidRDefault="00CE4FE0" w:rsidP="00787B7F">
      <w:pPr>
        <w:pStyle w:val="ListParagraph"/>
        <w:numPr>
          <w:ilvl w:val="0"/>
          <w:numId w:val="3"/>
        </w:numPr>
        <w:rPr>
          <w:rFonts w:ascii="Century Gothic" w:hAnsi="Century Gothic"/>
        </w:rPr>
      </w:pPr>
      <w:r>
        <w:rPr>
          <w:rFonts w:ascii="Century Gothic" w:hAnsi="Century Gothic"/>
        </w:rPr>
        <w:t xml:space="preserve">What is purpose – talk fest with no action </w:t>
      </w:r>
    </w:p>
    <w:p w14:paraId="69DC51A3" w14:textId="3149CCAF" w:rsidR="00190C4D" w:rsidRDefault="00190C4D" w:rsidP="00787B7F">
      <w:pPr>
        <w:pStyle w:val="ListParagraph"/>
        <w:numPr>
          <w:ilvl w:val="0"/>
          <w:numId w:val="3"/>
        </w:numPr>
        <w:rPr>
          <w:rFonts w:ascii="Century Gothic" w:hAnsi="Century Gothic"/>
        </w:rPr>
      </w:pPr>
      <w:r>
        <w:rPr>
          <w:rFonts w:ascii="Century Gothic" w:hAnsi="Century Gothic"/>
        </w:rPr>
        <w:t>Name – it’s not really compliance,</w:t>
      </w:r>
    </w:p>
    <w:p w14:paraId="207F7B1A" w14:textId="798CDC74" w:rsidR="00327BE8" w:rsidRDefault="00327BE8" w:rsidP="00787B7F">
      <w:pPr>
        <w:pStyle w:val="ListParagraph"/>
        <w:numPr>
          <w:ilvl w:val="0"/>
          <w:numId w:val="3"/>
        </w:numPr>
        <w:rPr>
          <w:rFonts w:ascii="Century Gothic" w:hAnsi="Century Gothic"/>
        </w:rPr>
      </w:pPr>
      <w:r>
        <w:rPr>
          <w:rFonts w:ascii="Century Gothic" w:hAnsi="Century Gothic"/>
        </w:rPr>
        <w:t xml:space="preserve">Try fix model, </w:t>
      </w:r>
      <w:r w:rsidR="009B3AB8">
        <w:rPr>
          <w:rFonts w:ascii="Century Gothic" w:hAnsi="Century Gothic"/>
        </w:rPr>
        <w:t>rather than</w:t>
      </w:r>
      <w:r>
        <w:rPr>
          <w:rFonts w:ascii="Century Gothic" w:hAnsi="Century Gothic"/>
        </w:rPr>
        <w:t xml:space="preserve"> delete </w:t>
      </w:r>
    </w:p>
    <w:p w14:paraId="5D2B98FD" w14:textId="1D0196B8" w:rsidR="006322EB" w:rsidRDefault="006322EB" w:rsidP="00787B7F">
      <w:pPr>
        <w:pStyle w:val="ListParagraph"/>
        <w:numPr>
          <w:ilvl w:val="0"/>
          <w:numId w:val="3"/>
        </w:numPr>
        <w:rPr>
          <w:rFonts w:ascii="Century Gothic" w:hAnsi="Century Gothic"/>
        </w:rPr>
      </w:pPr>
      <w:r>
        <w:rPr>
          <w:rFonts w:ascii="Century Gothic" w:hAnsi="Century Gothic"/>
        </w:rPr>
        <w:t>WRP – likely simplifying – MDBA led process</w:t>
      </w:r>
    </w:p>
    <w:p w14:paraId="4BD0B81F" w14:textId="02E08900" w:rsidR="00EF5F64" w:rsidRPr="00787B7F" w:rsidRDefault="00EF5F64" w:rsidP="00787B7F">
      <w:pPr>
        <w:pStyle w:val="ListParagraph"/>
        <w:numPr>
          <w:ilvl w:val="0"/>
          <w:numId w:val="3"/>
        </w:numPr>
        <w:rPr>
          <w:rFonts w:ascii="Century Gothic" w:hAnsi="Century Gothic"/>
        </w:rPr>
      </w:pPr>
      <w:r>
        <w:rPr>
          <w:rFonts w:ascii="Century Gothic" w:hAnsi="Century Gothic"/>
        </w:rPr>
        <w:t>National Water Commission?</w:t>
      </w:r>
    </w:p>
    <w:p w14:paraId="4C7F1051" w14:textId="77777777" w:rsidR="00784012" w:rsidRPr="009F4DBF" w:rsidRDefault="00784012" w:rsidP="00784012">
      <w:pPr>
        <w:pStyle w:val="ListParagraph"/>
        <w:rPr>
          <w:rFonts w:ascii="Century Gothic" w:hAnsi="Century Gothic"/>
        </w:rPr>
      </w:pPr>
    </w:p>
    <w:p w14:paraId="309AE196" w14:textId="77777777" w:rsidR="00ED1A0F" w:rsidRPr="009F4DBF" w:rsidRDefault="00ED1A0F">
      <w:pPr>
        <w:rPr>
          <w:rFonts w:ascii="Century Gothic" w:hAnsi="Century Gothic"/>
        </w:rPr>
      </w:pPr>
    </w:p>
    <w:sectPr w:rsidR="00ED1A0F" w:rsidRPr="009F4DBF" w:rsidSect="00ED1A0F">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F112" w14:textId="77777777" w:rsidR="00B229F8" w:rsidRDefault="00B229F8" w:rsidP="00AC771B">
      <w:pPr>
        <w:spacing w:after="0" w:line="240" w:lineRule="auto"/>
      </w:pPr>
      <w:r>
        <w:separator/>
      </w:r>
    </w:p>
  </w:endnote>
  <w:endnote w:type="continuationSeparator" w:id="0">
    <w:p w14:paraId="7C7870E3" w14:textId="77777777" w:rsidR="00B229F8" w:rsidRDefault="00B229F8" w:rsidP="00AC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AF15" w14:textId="77777777" w:rsidR="00B229F8" w:rsidRDefault="00B229F8" w:rsidP="00AC771B">
      <w:pPr>
        <w:spacing w:after="0" w:line="240" w:lineRule="auto"/>
      </w:pPr>
      <w:r>
        <w:separator/>
      </w:r>
    </w:p>
  </w:footnote>
  <w:footnote w:type="continuationSeparator" w:id="0">
    <w:p w14:paraId="370C3172" w14:textId="77777777" w:rsidR="00B229F8" w:rsidRDefault="00B229F8" w:rsidP="00AC771B">
      <w:pPr>
        <w:spacing w:after="0" w:line="240" w:lineRule="auto"/>
      </w:pPr>
      <w:r>
        <w:continuationSeparator/>
      </w:r>
    </w:p>
  </w:footnote>
  <w:footnote w:id="1">
    <w:p w14:paraId="1639876F" w14:textId="23BE72D8" w:rsidR="00AC771B" w:rsidRDefault="00AC771B">
      <w:pPr>
        <w:pStyle w:val="FootnoteText"/>
      </w:pPr>
      <w:r>
        <w:rPr>
          <w:rStyle w:val="FootnoteReference"/>
        </w:rPr>
        <w:footnoteRef/>
      </w:r>
      <w:r>
        <w:t xml:space="preserve"> </w:t>
      </w:r>
      <w:hyperlink r:id="rId1" w:history="1">
        <w:r w:rsidRPr="00AC771B">
          <w:rPr>
            <w:rStyle w:val="Hyperlink"/>
          </w:rPr>
          <w:t>Final_Report_Independent_Review_of_the_Inspector_General_of_Water_Compliance.pdf</w:t>
        </w:r>
      </w:hyperlink>
      <w:r>
        <w:t xml:space="preserve"> </w:t>
      </w:r>
    </w:p>
  </w:footnote>
  <w:footnote w:id="2">
    <w:p w14:paraId="77A8BD1A" w14:textId="24B15D39" w:rsidR="00287FA5" w:rsidRDefault="00287FA5">
      <w:pPr>
        <w:pStyle w:val="FootnoteText"/>
      </w:pPr>
      <w:r>
        <w:rPr>
          <w:rStyle w:val="FootnoteReference"/>
        </w:rPr>
        <w:footnoteRef/>
      </w:r>
      <w:r>
        <w:t xml:space="preserve"> </w:t>
      </w:r>
      <w:hyperlink r:id="rId2" w:history="1">
        <w:r w:rsidRPr="00287FA5">
          <w:rPr>
            <w:rStyle w:val="Hyperlink"/>
          </w:rPr>
          <w:t>Final_Report_Independent_Review_of_the_Inspector_General_of_Water_Compliance.pdf</w:t>
        </w:r>
      </w:hyperlink>
      <w:r>
        <w:t xml:space="preserve"> </w:t>
      </w:r>
    </w:p>
  </w:footnote>
  <w:footnote w:id="3">
    <w:p w14:paraId="54E420A3" w14:textId="77777777" w:rsidR="00E53614" w:rsidRDefault="00E53614" w:rsidP="00E53614">
      <w:pPr>
        <w:pStyle w:val="FootnoteText"/>
      </w:pPr>
      <w:r>
        <w:rPr>
          <w:rStyle w:val="FootnoteReference"/>
        </w:rPr>
        <w:footnoteRef/>
      </w:r>
      <w:r>
        <w:t xml:space="preserve"> </w:t>
      </w:r>
      <w:hyperlink r:id="rId3" w:history="1">
        <w:r w:rsidRPr="00204C8A">
          <w:rPr>
            <w:rStyle w:val="Hyperlink"/>
          </w:rPr>
          <w:t>Final_Report_Independent_Review_of_the_Inspector_General_of_Water_Compliance.pdf</w:t>
        </w:r>
      </w:hyperlink>
      <w:r>
        <w:t xml:space="preserve"> </w:t>
      </w:r>
    </w:p>
  </w:footnote>
  <w:footnote w:id="4">
    <w:p w14:paraId="11EBE388" w14:textId="77777777" w:rsidR="0072530B" w:rsidRDefault="0072530B" w:rsidP="0072530B">
      <w:pPr>
        <w:pStyle w:val="FootnoteText"/>
      </w:pPr>
      <w:r>
        <w:rPr>
          <w:rStyle w:val="FootnoteReference"/>
        </w:rPr>
        <w:footnoteRef/>
      </w:r>
      <w:r>
        <w:t xml:space="preserve"> </w:t>
      </w:r>
      <w:hyperlink r:id="rId4" w:history="1">
        <w:r w:rsidRPr="00D4223E">
          <w:rPr>
            <w:rStyle w:val="Hyperlink"/>
          </w:rPr>
          <w:t>Sustainable Diversion Limit compliance statement for 2020–2021</w:t>
        </w:r>
      </w:hyperlink>
    </w:p>
  </w:footnote>
  <w:footnote w:id="5">
    <w:p w14:paraId="2184A236" w14:textId="77777777" w:rsidR="0072530B" w:rsidRDefault="0072530B" w:rsidP="0072530B">
      <w:pPr>
        <w:pStyle w:val="FootnoteText"/>
      </w:pPr>
      <w:r>
        <w:rPr>
          <w:rStyle w:val="FootnoteReference"/>
        </w:rPr>
        <w:footnoteRef/>
      </w:r>
      <w:r>
        <w:t xml:space="preserve"> </w:t>
      </w:r>
      <w:hyperlink r:id="rId5" w:history="1">
        <w:r w:rsidRPr="004422CD">
          <w:rPr>
            <w:rStyle w:val="Hyperlink"/>
          </w:rPr>
          <w:t>Sustainable Diversion Limit compliance statement for 2020–2021</w:t>
        </w:r>
      </w:hyperlink>
      <w:r>
        <w:t xml:space="preserve"> </w:t>
      </w:r>
    </w:p>
  </w:footnote>
  <w:footnote w:id="6">
    <w:p w14:paraId="61A17D1F" w14:textId="5F5E8087" w:rsidR="001314C4" w:rsidRDefault="001314C4">
      <w:pPr>
        <w:pStyle w:val="FootnoteText"/>
      </w:pPr>
      <w:r>
        <w:rPr>
          <w:rStyle w:val="FootnoteReference"/>
        </w:rPr>
        <w:footnoteRef/>
      </w:r>
      <w:r>
        <w:t xml:space="preserve"> </w:t>
      </w:r>
      <w:hyperlink r:id="rId6" w:history="1">
        <w:r w:rsidRPr="001314C4">
          <w:rPr>
            <w:rStyle w:val="Hyperlink"/>
          </w:rPr>
          <w:t>Final_Report_Independent_Review_of_the_Inspector_General_of_Water_Compliance.pdf</w:t>
        </w:r>
      </w:hyperlink>
      <w:r>
        <w:t xml:space="preserve">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705"/>
    <w:multiLevelType w:val="hybridMultilevel"/>
    <w:tmpl w:val="0BEEF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FB6D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B460A9"/>
    <w:multiLevelType w:val="multilevel"/>
    <w:tmpl w:val="CA4C39F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752512">
    <w:abstractNumId w:val="1"/>
  </w:num>
  <w:num w:numId="2" w16cid:durableId="73600159">
    <w:abstractNumId w:val="2"/>
  </w:num>
  <w:num w:numId="3" w16cid:durableId="182511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0F"/>
    <w:rsid w:val="00015E0A"/>
    <w:rsid w:val="00023382"/>
    <w:rsid w:val="00076EF8"/>
    <w:rsid w:val="0008218C"/>
    <w:rsid w:val="0008263D"/>
    <w:rsid w:val="000D006C"/>
    <w:rsid w:val="000F464D"/>
    <w:rsid w:val="000F5E87"/>
    <w:rsid w:val="00123F95"/>
    <w:rsid w:val="001314C4"/>
    <w:rsid w:val="001337B7"/>
    <w:rsid w:val="001351FF"/>
    <w:rsid w:val="00172818"/>
    <w:rsid w:val="001819C2"/>
    <w:rsid w:val="00182C82"/>
    <w:rsid w:val="001835F4"/>
    <w:rsid w:val="00190C4D"/>
    <w:rsid w:val="0019648E"/>
    <w:rsid w:val="001A3E90"/>
    <w:rsid w:val="001B6790"/>
    <w:rsid w:val="001D67A8"/>
    <w:rsid w:val="001F308E"/>
    <w:rsid w:val="00200D02"/>
    <w:rsid w:val="00204C8A"/>
    <w:rsid w:val="00233A0E"/>
    <w:rsid w:val="002347A4"/>
    <w:rsid w:val="0024725F"/>
    <w:rsid w:val="00277FB1"/>
    <w:rsid w:val="00287FA5"/>
    <w:rsid w:val="002C437B"/>
    <w:rsid w:val="002D54DE"/>
    <w:rsid w:val="002D6ADD"/>
    <w:rsid w:val="002E3D0D"/>
    <w:rsid w:val="002E5DE8"/>
    <w:rsid w:val="002F7431"/>
    <w:rsid w:val="00327BE8"/>
    <w:rsid w:val="003405FA"/>
    <w:rsid w:val="00352675"/>
    <w:rsid w:val="003823A7"/>
    <w:rsid w:val="00386BCA"/>
    <w:rsid w:val="003874F4"/>
    <w:rsid w:val="003B13F7"/>
    <w:rsid w:val="003D1F0D"/>
    <w:rsid w:val="00403CBE"/>
    <w:rsid w:val="0042255E"/>
    <w:rsid w:val="004422CD"/>
    <w:rsid w:val="00450E60"/>
    <w:rsid w:val="00463843"/>
    <w:rsid w:val="00492BEE"/>
    <w:rsid w:val="004A3F07"/>
    <w:rsid w:val="004B1135"/>
    <w:rsid w:val="004C3155"/>
    <w:rsid w:val="004C505C"/>
    <w:rsid w:val="004E4C35"/>
    <w:rsid w:val="004E5EC8"/>
    <w:rsid w:val="004F525B"/>
    <w:rsid w:val="00504FE2"/>
    <w:rsid w:val="005233CF"/>
    <w:rsid w:val="00543861"/>
    <w:rsid w:val="00554596"/>
    <w:rsid w:val="00562F03"/>
    <w:rsid w:val="005918C7"/>
    <w:rsid w:val="0062018D"/>
    <w:rsid w:val="006322EB"/>
    <w:rsid w:val="00646D2C"/>
    <w:rsid w:val="006561B8"/>
    <w:rsid w:val="00671872"/>
    <w:rsid w:val="00675D10"/>
    <w:rsid w:val="00691553"/>
    <w:rsid w:val="00692F27"/>
    <w:rsid w:val="006A7AD2"/>
    <w:rsid w:val="006F7666"/>
    <w:rsid w:val="00706C62"/>
    <w:rsid w:val="00723466"/>
    <w:rsid w:val="00724323"/>
    <w:rsid w:val="0072530B"/>
    <w:rsid w:val="007430DA"/>
    <w:rsid w:val="00753B66"/>
    <w:rsid w:val="0075581E"/>
    <w:rsid w:val="00784012"/>
    <w:rsid w:val="00787B7F"/>
    <w:rsid w:val="00797809"/>
    <w:rsid w:val="007D0AD4"/>
    <w:rsid w:val="007E7C61"/>
    <w:rsid w:val="00834984"/>
    <w:rsid w:val="00836D06"/>
    <w:rsid w:val="0087602B"/>
    <w:rsid w:val="008843A5"/>
    <w:rsid w:val="00885867"/>
    <w:rsid w:val="008A7C0B"/>
    <w:rsid w:val="008F65BC"/>
    <w:rsid w:val="00921886"/>
    <w:rsid w:val="00935A93"/>
    <w:rsid w:val="009372F1"/>
    <w:rsid w:val="00937616"/>
    <w:rsid w:val="009544EE"/>
    <w:rsid w:val="009733B8"/>
    <w:rsid w:val="009800A4"/>
    <w:rsid w:val="00994752"/>
    <w:rsid w:val="00997906"/>
    <w:rsid w:val="009B3AB8"/>
    <w:rsid w:val="009C5B9D"/>
    <w:rsid w:val="009C793C"/>
    <w:rsid w:val="009F4DBF"/>
    <w:rsid w:val="00A42E37"/>
    <w:rsid w:val="00A5758F"/>
    <w:rsid w:val="00A6315B"/>
    <w:rsid w:val="00AA328F"/>
    <w:rsid w:val="00AA5FB6"/>
    <w:rsid w:val="00AC771B"/>
    <w:rsid w:val="00B01454"/>
    <w:rsid w:val="00B229F8"/>
    <w:rsid w:val="00B24611"/>
    <w:rsid w:val="00B32A19"/>
    <w:rsid w:val="00B52C3E"/>
    <w:rsid w:val="00B54954"/>
    <w:rsid w:val="00B73456"/>
    <w:rsid w:val="00B74981"/>
    <w:rsid w:val="00B76234"/>
    <w:rsid w:val="00B93909"/>
    <w:rsid w:val="00BD596C"/>
    <w:rsid w:val="00BD5E1A"/>
    <w:rsid w:val="00BD770F"/>
    <w:rsid w:val="00BE241B"/>
    <w:rsid w:val="00C304EC"/>
    <w:rsid w:val="00C73551"/>
    <w:rsid w:val="00C956AB"/>
    <w:rsid w:val="00C965AE"/>
    <w:rsid w:val="00CE48E0"/>
    <w:rsid w:val="00CE4FE0"/>
    <w:rsid w:val="00CE5EE3"/>
    <w:rsid w:val="00CE7229"/>
    <w:rsid w:val="00D34E51"/>
    <w:rsid w:val="00D4223E"/>
    <w:rsid w:val="00D743F1"/>
    <w:rsid w:val="00D85B09"/>
    <w:rsid w:val="00DD1349"/>
    <w:rsid w:val="00DE3F68"/>
    <w:rsid w:val="00DE4ACE"/>
    <w:rsid w:val="00E31A04"/>
    <w:rsid w:val="00E40153"/>
    <w:rsid w:val="00E50EAE"/>
    <w:rsid w:val="00E53614"/>
    <w:rsid w:val="00E55FDB"/>
    <w:rsid w:val="00E750AB"/>
    <w:rsid w:val="00E90D74"/>
    <w:rsid w:val="00EC7AA8"/>
    <w:rsid w:val="00ED1A0F"/>
    <w:rsid w:val="00EF5F64"/>
    <w:rsid w:val="00F000B5"/>
    <w:rsid w:val="00F0770B"/>
    <w:rsid w:val="00F925F7"/>
    <w:rsid w:val="00F927F0"/>
    <w:rsid w:val="00F968D9"/>
    <w:rsid w:val="00FA7467"/>
    <w:rsid w:val="00FB1CD7"/>
    <w:rsid w:val="00FC0B6E"/>
    <w:rsid w:val="00FE0788"/>
    <w:rsid w:val="00FF0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B466"/>
  <w15:chartTrackingRefBased/>
  <w15:docId w15:val="{49D1E521-1330-4C36-886C-DC3341FC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A0F"/>
    <w:rPr>
      <w:rFonts w:eastAsiaTheme="majorEastAsia" w:cstheme="majorBidi"/>
      <w:color w:val="272727" w:themeColor="text1" w:themeTint="D8"/>
    </w:rPr>
  </w:style>
  <w:style w:type="paragraph" w:styleId="Title">
    <w:name w:val="Title"/>
    <w:basedOn w:val="Normal"/>
    <w:next w:val="Normal"/>
    <w:link w:val="TitleChar"/>
    <w:uiPriority w:val="10"/>
    <w:qFormat/>
    <w:rsid w:val="00ED1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A0F"/>
    <w:pPr>
      <w:spacing w:before="160"/>
      <w:jc w:val="center"/>
    </w:pPr>
    <w:rPr>
      <w:i/>
      <w:iCs/>
      <w:color w:val="404040" w:themeColor="text1" w:themeTint="BF"/>
    </w:rPr>
  </w:style>
  <w:style w:type="character" w:customStyle="1" w:styleId="QuoteChar">
    <w:name w:val="Quote Char"/>
    <w:basedOn w:val="DefaultParagraphFont"/>
    <w:link w:val="Quote"/>
    <w:uiPriority w:val="29"/>
    <w:rsid w:val="00ED1A0F"/>
    <w:rPr>
      <w:i/>
      <w:iCs/>
      <w:color w:val="404040" w:themeColor="text1" w:themeTint="BF"/>
    </w:rPr>
  </w:style>
  <w:style w:type="paragraph" w:styleId="ListParagraph">
    <w:name w:val="List Paragraph"/>
    <w:basedOn w:val="Normal"/>
    <w:uiPriority w:val="34"/>
    <w:qFormat/>
    <w:rsid w:val="00ED1A0F"/>
    <w:pPr>
      <w:ind w:left="720"/>
      <w:contextualSpacing/>
    </w:pPr>
  </w:style>
  <w:style w:type="character" w:styleId="IntenseEmphasis">
    <w:name w:val="Intense Emphasis"/>
    <w:basedOn w:val="DefaultParagraphFont"/>
    <w:uiPriority w:val="21"/>
    <w:qFormat/>
    <w:rsid w:val="00ED1A0F"/>
    <w:rPr>
      <w:i/>
      <w:iCs/>
      <w:color w:val="0F4761" w:themeColor="accent1" w:themeShade="BF"/>
    </w:rPr>
  </w:style>
  <w:style w:type="paragraph" w:styleId="IntenseQuote">
    <w:name w:val="Intense Quote"/>
    <w:basedOn w:val="Normal"/>
    <w:next w:val="Normal"/>
    <w:link w:val="IntenseQuoteChar"/>
    <w:uiPriority w:val="30"/>
    <w:qFormat/>
    <w:rsid w:val="00ED1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A0F"/>
    <w:rPr>
      <w:i/>
      <w:iCs/>
      <w:color w:val="0F4761" w:themeColor="accent1" w:themeShade="BF"/>
    </w:rPr>
  </w:style>
  <w:style w:type="character" w:styleId="IntenseReference">
    <w:name w:val="Intense Reference"/>
    <w:basedOn w:val="DefaultParagraphFont"/>
    <w:uiPriority w:val="32"/>
    <w:qFormat/>
    <w:rsid w:val="00ED1A0F"/>
    <w:rPr>
      <w:b/>
      <w:bCs/>
      <w:smallCaps/>
      <w:color w:val="0F4761" w:themeColor="accent1" w:themeShade="BF"/>
      <w:spacing w:val="5"/>
    </w:rPr>
  </w:style>
  <w:style w:type="paragraph" w:styleId="NoSpacing">
    <w:name w:val="No Spacing"/>
    <w:link w:val="NoSpacingChar"/>
    <w:uiPriority w:val="1"/>
    <w:qFormat/>
    <w:rsid w:val="00ED1A0F"/>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D1A0F"/>
    <w:rPr>
      <w:rFonts w:eastAsiaTheme="minorEastAsia"/>
      <w:kern w:val="0"/>
      <w:sz w:val="22"/>
      <w:szCs w:val="22"/>
      <w:lang w:val="en-US"/>
      <w14:ligatures w14:val="none"/>
    </w:rPr>
  </w:style>
  <w:style w:type="paragraph" w:styleId="FootnoteText">
    <w:name w:val="footnote text"/>
    <w:basedOn w:val="Normal"/>
    <w:link w:val="FootnoteTextChar"/>
    <w:uiPriority w:val="99"/>
    <w:semiHidden/>
    <w:unhideWhenUsed/>
    <w:rsid w:val="00AC77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71B"/>
    <w:rPr>
      <w:sz w:val="20"/>
      <w:szCs w:val="20"/>
    </w:rPr>
  </w:style>
  <w:style w:type="character" w:styleId="FootnoteReference">
    <w:name w:val="footnote reference"/>
    <w:basedOn w:val="DefaultParagraphFont"/>
    <w:uiPriority w:val="99"/>
    <w:semiHidden/>
    <w:unhideWhenUsed/>
    <w:rsid w:val="00AC771B"/>
    <w:rPr>
      <w:vertAlign w:val="superscript"/>
    </w:rPr>
  </w:style>
  <w:style w:type="character" w:styleId="Hyperlink">
    <w:name w:val="Hyperlink"/>
    <w:basedOn w:val="DefaultParagraphFont"/>
    <w:uiPriority w:val="99"/>
    <w:unhideWhenUsed/>
    <w:rsid w:val="00AC771B"/>
    <w:rPr>
      <w:color w:val="467886" w:themeColor="hyperlink"/>
      <w:u w:val="single"/>
    </w:rPr>
  </w:style>
  <w:style w:type="character" w:styleId="UnresolvedMention">
    <w:name w:val="Unresolved Mention"/>
    <w:basedOn w:val="DefaultParagraphFont"/>
    <w:uiPriority w:val="99"/>
    <w:semiHidden/>
    <w:unhideWhenUsed/>
    <w:rsid w:val="00AC771B"/>
    <w:rPr>
      <w:color w:val="605E5C"/>
      <w:shd w:val="clear" w:color="auto" w:fill="E1DFDD"/>
    </w:rPr>
  </w:style>
  <w:style w:type="paragraph" w:styleId="Header">
    <w:name w:val="header"/>
    <w:basedOn w:val="Normal"/>
    <w:link w:val="HeaderChar"/>
    <w:uiPriority w:val="99"/>
    <w:semiHidden/>
    <w:unhideWhenUsed/>
    <w:rsid w:val="006F76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7666"/>
  </w:style>
  <w:style w:type="paragraph" w:styleId="Footer">
    <w:name w:val="footer"/>
    <w:basedOn w:val="Normal"/>
    <w:link w:val="FooterChar"/>
    <w:uiPriority w:val="99"/>
    <w:semiHidden/>
    <w:unhideWhenUsed/>
    <w:rsid w:val="006F76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7666"/>
  </w:style>
  <w:style w:type="table" w:styleId="TableGrid">
    <w:name w:val="Table Grid"/>
    <w:basedOn w:val="TableNormal"/>
    <w:uiPriority w:val="39"/>
    <w:rsid w:val="0056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orage.googleapis.com/files-au-climate/climate-au/p/prj3a4b058c8cef0d55fd3ed/page/Statutory_Review_of_the_role_of_the_Inspector_General_of_Water_Compliance_Terms_of_Reference_PDF_184KB_.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7B2A.2306CA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orage.googleapis.com/files-au-climate/climate-au/p/prj296f91431e69f9fd2b627/page/Final_Report_Independent_Review_of_the_Inspector_General_of_Water_Compliance.pdf" TargetMode="External"/><Relationship Id="rId2" Type="http://schemas.openxmlformats.org/officeDocument/2006/relationships/hyperlink" Target="https://storage.googleapis.com/files-au-climate/climate-au/p/prj296f91431e69f9fd2b627/page/Final_Report_Independent_Review_of_the_Inspector_General_of_Water_Compliance.pdf" TargetMode="External"/><Relationship Id="rId1" Type="http://schemas.openxmlformats.org/officeDocument/2006/relationships/hyperlink" Target="https://storage.googleapis.com/files-au-climate/climate-au/p/prj296f91431e69f9fd2b627/page/Final_Report_Independent_Review_of_the_Inspector_General_of_Water_Compliance.pdf" TargetMode="External"/><Relationship Id="rId6" Type="http://schemas.openxmlformats.org/officeDocument/2006/relationships/hyperlink" Target="https://storage.googleapis.com/files-au-climate/climate-au/p/prj296f91431e69f9fd2b627/page/Final_Report_Independent_Review_of_the_Inspector_General_of_Water_Compliance.pdf" TargetMode="External"/><Relationship Id="rId5" Type="http://schemas.openxmlformats.org/officeDocument/2006/relationships/hyperlink" Target="https://www.igwc.gov.au/sites/default/files/2022-08/igwc-2020-21-sdl-compliance-statement_0.pdf" TargetMode="External"/><Relationship Id="rId4" Type="http://schemas.openxmlformats.org/officeDocument/2006/relationships/hyperlink" Target="https://www.igwc.gov.au/sites/default/files/2022-08/igwc-2020-21-sdl-compliance-statemen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A1E11612CF340B16C95BCD3006626" ma:contentTypeVersion="18" ma:contentTypeDescription="Create a new document." ma:contentTypeScope="" ma:versionID="83da811c9e8e7e25b95c1da7c40ef9fc">
  <xsd:schema xmlns:xsd="http://www.w3.org/2001/XMLSchema" xmlns:xs="http://www.w3.org/2001/XMLSchema" xmlns:p="http://schemas.microsoft.com/office/2006/metadata/properties" xmlns:ns2="05a78c0f-a504-4649-88c9-b794f6403e85" xmlns:ns3="e809dcb9-122b-4a07-9542-d31a68380e93" targetNamespace="http://schemas.microsoft.com/office/2006/metadata/properties" ma:root="true" ma:fieldsID="88e9ae26ff635026e13bb1c43b027d4d" ns2:_="" ns3:_="">
    <xsd:import namespace="05a78c0f-a504-4649-88c9-b794f6403e85"/>
    <xsd:import namespace="e809dcb9-122b-4a07-9542-d31a68380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78c0f-a504-4649-88c9-b794f640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d9da494-2820-463f-b5b3-52c4182aea95}" ma:internalName="TaxCatchAll" ma:showField="CatchAllData" ma:web="05a78c0f-a504-4649-88c9-b794f6403e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9dcb9-122b-4a07-9542-d31a68380e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bf22c-45f6-4dbd-b812-cdd956b02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a78c0f-a504-4649-88c9-b794f6403e85" xsi:nil="true"/>
    <lcf76f155ced4ddcb4097134ff3c332f xmlns="e809dcb9-122b-4a07-9542-d31a68380e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7381-759E-411A-BCA1-0D84C1100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78c0f-a504-4649-88c9-b794f6403e85"/>
    <ds:schemaRef ds:uri="e809dcb9-122b-4a07-9542-d31a6838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4395-3048-4C30-B5F8-1EC314C2FFAE}">
  <ds:schemaRefs>
    <ds:schemaRef ds:uri="http://schemas.microsoft.com/office/2006/metadata/properties"/>
    <ds:schemaRef ds:uri="http://schemas.microsoft.com/office/infopath/2007/PartnerControls"/>
    <ds:schemaRef ds:uri="05a78c0f-a504-4649-88c9-b794f6403e85"/>
    <ds:schemaRef ds:uri="e809dcb9-122b-4a07-9542-d31a68380e93"/>
  </ds:schemaRefs>
</ds:datastoreItem>
</file>

<file path=customXml/itemProps3.xml><?xml version="1.0" encoding="utf-8"?>
<ds:datastoreItem xmlns:ds="http://schemas.openxmlformats.org/officeDocument/2006/customXml" ds:itemID="{0FF634D7-FFCB-430D-92D6-D7BD1B13A3C8}">
  <ds:schemaRefs>
    <ds:schemaRef ds:uri="http://schemas.microsoft.com/sharepoint/v3/contenttype/forms"/>
  </ds:schemaRefs>
</ds:datastoreItem>
</file>

<file path=customXml/itemProps4.xml><?xml version="1.0" encoding="utf-8"?>
<ds:datastoreItem xmlns:ds="http://schemas.openxmlformats.org/officeDocument/2006/customXml" ds:itemID="{1F9BF8BD-5DBE-47BE-BA2D-28002317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6</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role of the Inspector
General of Water Compliance</dc:title>
  <dc:subject>Submission</dc:subject>
  <dc:creator>National Irrigators’ Council</dc:creator>
  <cp:keywords/>
  <dc:description/>
  <cp:lastModifiedBy>Christine Freak</cp:lastModifiedBy>
  <cp:revision>142</cp:revision>
  <dcterms:created xsi:type="dcterms:W3CDTF">2026-02-09T00:13:00Z</dcterms:created>
  <dcterms:modified xsi:type="dcterms:W3CDTF">2026-02-13T05:03:00Z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0x010100585A1E11612CF340B16C95BCD3006626</vt:lpwstr>
  </property>
  <property fmtid="{D5CDD505-2E9C-101B-9397-08002B2CF9AE}" pid="3" name="MediaServiceImageTags">
    <vt:lpwstr/>
  </property>
</Properties>
</file>