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entury Gothic" w:hAnsi="Century Gothic"/>
          <w:sz w:val="20"/>
          <w:szCs w:val="20"/>
        </w:rPr>
        <w:id w:val="-501745838"/>
        <w:docPartObj>
          <w:docPartGallery w:val="Cover Pages"/>
          <w:docPartUnique/>
        </w:docPartObj>
      </w:sdtPr>
      <w:sdtEndPr/>
      <w:sdtContent>
        <w:p w14:paraId="3BF1F1C1" w14:textId="392994FA" w:rsidR="00FA3DFB" w:rsidRPr="00751099" w:rsidRDefault="00FA3DFB">
          <w:pPr>
            <w:rPr>
              <w:rFonts w:ascii="Century Gothic" w:hAnsi="Century Gothic"/>
              <w:sz w:val="20"/>
              <w:szCs w:val="20"/>
            </w:rPr>
          </w:pPr>
          <w:r w:rsidRPr="00751099">
            <w:rPr>
              <w:rFonts w:ascii="Century Gothic" w:hAnsi="Century Gothic"/>
              <w:noProof/>
              <w:sz w:val="20"/>
              <w:szCs w:val="20"/>
            </w:rPr>
            <mc:AlternateContent>
              <mc:Choice Requires="wpg">
                <w:drawing>
                  <wp:anchor distT="0" distB="0" distL="114300" distR="114300" simplePos="0" relativeHeight="251658240" behindDoc="0" locked="0" layoutInCell="1" allowOverlap="1" wp14:anchorId="292C2716" wp14:editId="6CEBF365">
                    <wp:simplePos x="0" y="0"/>
                    <wp:positionH relativeFrom="page">
                      <wp:align>right</wp:align>
                    </wp:positionH>
                    <wp:positionV relativeFrom="page">
                      <wp:align>top</wp:align>
                    </wp:positionV>
                    <wp:extent cx="3113670" cy="10058400"/>
                    <wp:effectExtent l="0" t="0" r="0" b="0"/>
                    <wp:wrapNone/>
                    <wp:docPr id="453" name="Group 252" descr="P1#y1"/>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72"/>
                                      <w:szCs w:val="72"/>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D7EF206" w14:textId="319DE569" w:rsidR="00FA3DFB" w:rsidRDefault="00BB62BC">
                                      <w:pPr>
                                        <w:pStyle w:val="NoSpacing"/>
                                        <w:rPr>
                                          <w:color w:val="FFFFFF" w:themeColor="background1"/>
                                          <w:sz w:val="96"/>
                                          <w:szCs w:val="96"/>
                                        </w:rPr>
                                      </w:pPr>
                                      <w:r w:rsidRPr="00BB62BC">
                                        <w:rPr>
                                          <w:color w:val="FFFFFF" w:themeColor="background1"/>
                                          <w:sz w:val="72"/>
                                          <w:szCs w:val="72"/>
                                        </w:rPr>
                                        <w:t>Submission</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A17C896" w14:textId="3304C9BE" w:rsidR="00FA3DFB" w:rsidRDefault="00073BAE">
                                      <w:pPr>
                                        <w:pStyle w:val="NoSpacing"/>
                                        <w:spacing w:line="360" w:lineRule="auto"/>
                                        <w:rPr>
                                          <w:color w:val="FFFFFF" w:themeColor="background1"/>
                                        </w:rPr>
                                      </w:pPr>
                                      <w:r>
                                        <w:rPr>
                                          <w:color w:val="FFFFFF" w:themeColor="background1"/>
                                        </w:rPr>
                                        <w:t>NIC</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2D771EBA" w14:textId="4085BCB7" w:rsidR="00FA3DFB" w:rsidRDefault="006E26EC">
                                      <w:pPr>
                                        <w:pStyle w:val="NoSpacing"/>
                                        <w:spacing w:line="360" w:lineRule="auto"/>
                                        <w:rPr>
                                          <w:color w:val="FFFFFF" w:themeColor="background1"/>
                                        </w:rPr>
                                      </w:pPr>
                                      <w:r>
                                        <w:rPr>
                                          <w:color w:val="FFFFFF" w:themeColor="background1"/>
                                        </w:rPr>
                                        <w:t>July</w:t>
                                      </w:r>
                                      <w:r w:rsidR="00073BAE">
                                        <w:rPr>
                                          <w:color w:val="FFFFFF" w:themeColor="background1"/>
                                        </w:rPr>
                                        <w:t xml:space="preserve"> 2026</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4DE27F31" w14:textId="5CBC70AD" w:rsidR="00FA3DFB" w:rsidRDefault="00BB62BC">
                                      <w:pPr>
                                        <w:pStyle w:val="NoSpacing"/>
                                        <w:spacing w:line="360" w:lineRule="auto"/>
                                        <w:rPr>
                                          <w:color w:val="FFFFFF" w:themeColor="background1"/>
                                        </w:rPr>
                                      </w:pPr>
                                      <w:r>
                                        <w:rPr>
                                          <w:color w:val="FFFFFF" w:themeColor="background1"/>
                                        </w:rPr>
                                        <w:t>Submission</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92C2716" id="Group 252" o:spid="_x0000_s1026" alt="P1#y1" style="position:absolute;margin-left:193.95pt;margin-top:0;width:245.15pt;height:11in;z-index:25165824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ASD/rkTAMAAHkMAAAOAAAAAAAAAAAAAAAAAC4CAABk&#10;cnMvZTJvRG9jLnhtbFBLAQItABQABgAIAAAAIQANdl2G3QAAAAYBAAAPAAAAAAAAAAAAAAAAAKYF&#10;AABkcnMvZG93bnJldi54bWxQSwUGAAAAAAQABADzAAAAsA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74b5e4 [1945]" stroked="f" strokecolor="white" strokeweight="1pt">
                      <v:fill r:id="rId12"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74b5e4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72"/>
                                <w:szCs w:val="72"/>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D7EF206" w14:textId="319DE569" w:rsidR="00FA3DFB" w:rsidRDefault="00BB62BC">
                                <w:pPr>
                                  <w:pStyle w:val="NoSpacing"/>
                                  <w:rPr>
                                    <w:color w:val="FFFFFF" w:themeColor="background1"/>
                                    <w:sz w:val="96"/>
                                    <w:szCs w:val="96"/>
                                  </w:rPr>
                                </w:pPr>
                                <w:r w:rsidRPr="00BB62BC">
                                  <w:rPr>
                                    <w:color w:val="FFFFFF" w:themeColor="background1"/>
                                    <w:sz w:val="72"/>
                                    <w:szCs w:val="72"/>
                                  </w:rPr>
                                  <w:t>Submission</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A17C896" w14:textId="3304C9BE" w:rsidR="00FA3DFB" w:rsidRDefault="00073BAE">
                                <w:pPr>
                                  <w:pStyle w:val="NoSpacing"/>
                                  <w:spacing w:line="360" w:lineRule="auto"/>
                                  <w:rPr>
                                    <w:color w:val="FFFFFF" w:themeColor="background1"/>
                                  </w:rPr>
                                </w:pPr>
                                <w:r>
                                  <w:rPr>
                                    <w:color w:val="FFFFFF" w:themeColor="background1"/>
                                  </w:rPr>
                                  <w:t>NIC</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2D771EBA" w14:textId="4085BCB7" w:rsidR="00FA3DFB" w:rsidRDefault="006E26EC">
                                <w:pPr>
                                  <w:pStyle w:val="NoSpacing"/>
                                  <w:spacing w:line="360" w:lineRule="auto"/>
                                  <w:rPr>
                                    <w:color w:val="FFFFFF" w:themeColor="background1"/>
                                  </w:rPr>
                                </w:pPr>
                                <w:r>
                                  <w:rPr>
                                    <w:color w:val="FFFFFF" w:themeColor="background1"/>
                                  </w:rPr>
                                  <w:t>July</w:t>
                                </w:r>
                                <w:r w:rsidR="00073BAE">
                                  <w:rPr>
                                    <w:color w:val="FFFFFF" w:themeColor="background1"/>
                                  </w:rPr>
                                  <w:t xml:space="preserve"> 2026</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4DE27F31" w14:textId="5CBC70AD" w:rsidR="00FA3DFB" w:rsidRDefault="00BB62BC">
                                <w:pPr>
                                  <w:pStyle w:val="NoSpacing"/>
                                  <w:spacing w:line="360" w:lineRule="auto"/>
                                  <w:rPr>
                                    <w:color w:val="FFFFFF" w:themeColor="background1"/>
                                  </w:rPr>
                                </w:pPr>
                                <w:r>
                                  <w:rPr>
                                    <w:color w:val="FFFFFF" w:themeColor="background1"/>
                                  </w:rPr>
                                  <w:t>Submission</w:t>
                                </w:r>
                              </w:p>
                            </w:sdtContent>
                          </w:sdt>
                        </w:txbxContent>
                      </v:textbox>
                    </v:rect>
                    <w10:wrap anchorx="page" anchory="page"/>
                  </v:group>
                </w:pict>
              </mc:Fallback>
            </mc:AlternateContent>
          </w:r>
        </w:p>
        <w:p w14:paraId="74EA59AB" w14:textId="73E259B3" w:rsidR="00FA3DFB" w:rsidRPr="00751099" w:rsidRDefault="006E26EC">
          <w:pPr>
            <w:rPr>
              <w:rFonts w:ascii="Century Gothic" w:hAnsi="Century Gothic"/>
              <w:sz w:val="20"/>
              <w:szCs w:val="20"/>
            </w:rPr>
          </w:pPr>
          <w:r w:rsidRPr="00751099">
            <w:rPr>
              <w:rFonts w:ascii="Century Gothic" w:hAnsi="Century Gothic"/>
              <w:noProof/>
              <w:sz w:val="20"/>
              <w:szCs w:val="20"/>
            </w:rPr>
            <mc:AlternateContent>
              <mc:Choice Requires="wps">
                <w:drawing>
                  <wp:anchor distT="0" distB="0" distL="114300" distR="114300" simplePos="0" relativeHeight="251658244" behindDoc="0" locked="0" layoutInCell="1" allowOverlap="1" wp14:anchorId="4D9822FC" wp14:editId="26E977B4">
                    <wp:simplePos x="0" y="0"/>
                    <wp:positionH relativeFrom="column">
                      <wp:posOffset>342900</wp:posOffset>
                    </wp:positionH>
                    <wp:positionV relativeFrom="paragraph">
                      <wp:posOffset>6248400</wp:posOffset>
                    </wp:positionV>
                    <wp:extent cx="5591175" cy="847725"/>
                    <wp:effectExtent l="0" t="0" r="0" b="0"/>
                    <wp:wrapNone/>
                    <wp:docPr id="1041062778" name="Text Box 6"/>
                    <wp:cNvGraphicFramePr/>
                    <a:graphic xmlns:a="http://schemas.openxmlformats.org/drawingml/2006/main">
                      <a:graphicData uri="http://schemas.microsoft.com/office/word/2010/wordprocessingShape">
                        <wps:wsp>
                          <wps:cNvSpPr txBox="1"/>
                          <wps:spPr>
                            <a:xfrm>
                              <a:off x="0" y="0"/>
                              <a:ext cx="5591175" cy="847725"/>
                            </a:xfrm>
                            <a:prstGeom prst="rect">
                              <a:avLst/>
                            </a:prstGeom>
                            <a:noFill/>
                            <a:ln w="6350">
                              <a:noFill/>
                            </a:ln>
                          </wps:spPr>
                          <wps:txbx>
                            <w:txbxContent>
                              <w:p w14:paraId="2D9D9873" w14:textId="7DB6667A" w:rsidR="006E26EC" w:rsidRPr="00B25921" w:rsidRDefault="00B25921">
                                <w:pPr>
                                  <w:rPr>
                                    <w:b/>
                                    <w:bCs/>
                                    <w:color w:val="FFFFFF" w:themeColor="background1"/>
                                    <w:sz w:val="28"/>
                                    <w:szCs w:val="28"/>
                                  </w:rPr>
                                </w:pPr>
                                <w:r>
                                  <w:rPr>
                                    <w:b/>
                                    <w:bCs/>
                                    <w:color w:val="FFFFFF" w:themeColor="background1"/>
                                    <w:sz w:val="28"/>
                                    <w:szCs w:val="28"/>
                                  </w:rPr>
                                  <w:t>NIC Submission to “</w:t>
                                </w:r>
                                <w:r w:rsidRPr="00B25921">
                                  <w:rPr>
                                    <w:b/>
                                    <w:bCs/>
                                    <w:color w:val="FFFFFF" w:themeColor="background1"/>
                                    <w:sz w:val="28"/>
                                    <w:szCs w:val="28"/>
                                  </w:rPr>
                                  <w:t>Strong Voices, Healthy Waters: upholding Aboriginal and Torres Strait Islander peoples’ water rights through the review of the Water Act 2007</w:t>
                                </w:r>
                                <w:r>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822FC" id="_x0000_t202" coordsize="21600,21600" o:spt="202" path="m,l,21600r21600,l21600,xe">
                    <v:stroke joinstyle="miter"/>
                    <v:path gradientshapeok="t" o:connecttype="rect"/>
                  </v:shapetype>
                  <v:shape id="Text Box 6" o:spid="_x0000_s1031" type="#_x0000_t202" style="position:absolute;margin-left:27pt;margin-top:492pt;width:440.25pt;height:66.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" filled="f" stroked="f" strokeweight=".5pt">
                    <v:textbox>
                      <w:txbxContent>
                        <w:p w14:paraId="2D9D9873" w14:textId="7DB6667A" w:rsidR="006E26EC" w:rsidRPr="00B25921" w:rsidRDefault="00B25921">
                          <w:pPr>
                            <w:rPr>
                              <w:b/>
                              <w:bCs/>
                              <w:color w:val="FFFFFF" w:themeColor="background1"/>
                              <w:sz w:val="28"/>
                              <w:szCs w:val="28"/>
                            </w:rPr>
                          </w:pPr>
                          <w:r>
                            <w:rPr>
                              <w:b/>
                              <w:bCs/>
                              <w:color w:val="FFFFFF" w:themeColor="background1"/>
                              <w:sz w:val="28"/>
                              <w:szCs w:val="28"/>
                            </w:rPr>
                            <w:t>NIC Submission to “</w:t>
                          </w:r>
                          <w:r w:rsidRPr="00B25921">
                            <w:rPr>
                              <w:b/>
                              <w:bCs/>
                              <w:color w:val="FFFFFF" w:themeColor="background1"/>
                              <w:sz w:val="28"/>
                              <w:szCs w:val="28"/>
                            </w:rPr>
                            <w:t>Strong Voices, Healthy Waters: upholding Aboriginal and Torres Strait Islander peoples’ water rights through the review of the Water Act 2007</w:t>
                          </w:r>
                          <w:r>
                            <w:rPr>
                              <w:b/>
                              <w:bCs/>
                              <w:color w:val="FFFFFF" w:themeColor="background1"/>
                              <w:sz w:val="28"/>
                              <w:szCs w:val="28"/>
                            </w:rPr>
                            <w:t>”</w:t>
                          </w:r>
                        </w:p>
                      </w:txbxContent>
                    </v:textbox>
                  </v:shape>
                </w:pict>
              </mc:Fallback>
            </mc:AlternateContent>
          </w:r>
          <w:r w:rsidRPr="00751099">
            <w:rPr>
              <w:rFonts w:ascii="Century Gothic" w:hAnsi="Century Gothic"/>
              <w:noProof/>
              <w:sz w:val="20"/>
              <w:szCs w:val="20"/>
            </w:rPr>
            <mc:AlternateContent>
              <mc:Choice Requires="wps">
                <w:drawing>
                  <wp:anchor distT="0" distB="0" distL="114300" distR="114300" simplePos="0" relativeHeight="251658242" behindDoc="0" locked="0" layoutInCell="0" allowOverlap="1" wp14:anchorId="5688A064" wp14:editId="1FEF3876">
                    <wp:simplePos x="0" y="0"/>
                    <wp:positionH relativeFrom="page">
                      <wp:posOffset>711237</wp:posOffset>
                    </wp:positionH>
                    <wp:positionV relativeFrom="page">
                      <wp:posOffset>6515100</wp:posOffset>
                    </wp:positionV>
                    <wp:extent cx="6970395" cy="1428750"/>
                    <wp:effectExtent l="0" t="0" r="0" b="0"/>
                    <wp:wrapNone/>
                    <wp:docPr id="463" name="Rectangle 16" descr="P2TB3bA#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428750"/>
                            </a:xfrm>
                            <a:prstGeom prst="rect">
                              <a:avLst/>
                            </a:prstGeom>
                            <a:noFill/>
                            <a:ln w="19050" cap="flat" cmpd="sng" algn="ctr">
                              <a:solidFill>
                                <a:prstClr val="black">
                                  <a:alpha val="0"/>
                                </a:prstClr>
                              </a:solidFill>
                              <a:prstDash val="solid"/>
                              <a:miter lim="800000"/>
                              <a:headEnd type="none" w="med" len="med"/>
                              <a:tailEnd type="none" w="med" len="me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0E855E55" w14:textId="6CC08A36" w:rsidR="00FA3DFB" w:rsidRDefault="00890B62">
                                    <w:pPr>
                                      <w:pStyle w:val="NoSpacing"/>
                                      <w:jc w:val="right"/>
                                      <w:rPr>
                                        <w:color w:val="FFFFFF" w:themeColor="background1"/>
                                        <w:sz w:val="72"/>
                                        <w:szCs w:val="72"/>
                                      </w:rPr>
                                    </w:pPr>
                                    <w:r>
                                      <w:rPr>
                                        <w:color w:val="FFFFFF" w:themeColor="background1"/>
                                        <w:sz w:val="72"/>
                                        <w:szCs w:val="72"/>
                                      </w:rPr>
                                      <w:t xml:space="preserve">DRAFT - </w:t>
                                    </w:r>
                                    <w:r w:rsidR="004073E5">
                                      <w:rPr>
                                        <w:color w:val="FFFFFF" w:themeColor="background1"/>
                                        <w:sz w:val="72"/>
                                        <w:szCs w:val="72"/>
                                      </w:rPr>
                                      <w:t>Water</w:t>
                                    </w:r>
                                    <w:r w:rsidR="006E26EC">
                                      <w:rPr>
                                        <w:color w:val="FFFFFF" w:themeColor="background1"/>
                                        <w:sz w:val="72"/>
                                        <w:szCs w:val="72"/>
                                      </w:rPr>
                                      <w:t xml:space="preserve"> Act Review</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5688A064" id="Rectangle 16" o:spid="_x0000_s1032" alt="P2TB3bA#y1" style="position:absolute;margin-left:56pt;margin-top:513pt;width:548.85pt;height:112.5pt;z-index:25165824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" o:allowincell="f" filled="f" strokeweight="1.5pt">
                    <v:stroke opacity="0"/>
                    <v:textbox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0E855E55" w14:textId="6CC08A36" w:rsidR="00FA3DFB" w:rsidRDefault="00890B62">
                              <w:pPr>
                                <w:pStyle w:val="NoSpacing"/>
                                <w:jc w:val="right"/>
                                <w:rPr>
                                  <w:color w:val="FFFFFF" w:themeColor="background1"/>
                                  <w:sz w:val="72"/>
                                  <w:szCs w:val="72"/>
                                </w:rPr>
                              </w:pPr>
                              <w:r>
                                <w:rPr>
                                  <w:color w:val="FFFFFF" w:themeColor="background1"/>
                                  <w:sz w:val="72"/>
                                  <w:szCs w:val="72"/>
                                </w:rPr>
                                <w:t xml:space="preserve">DRAFT - </w:t>
                              </w:r>
                              <w:r w:rsidR="004073E5">
                                <w:rPr>
                                  <w:color w:val="FFFFFF" w:themeColor="background1"/>
                                  <w:sz w:val="72"/>
                                  <w:szCs w:val="72"/>
                                </w:rPr>
                                <w:t>Water</w:t>
                              </w:r>
                              <w:r w:rsidR="006E26EC">
                                <w:rPr>
                                  <w:color w:val="FFFFFF" w:themeColor="background1"/>
                                  <w:sz w:val="72"/>
                                  <w:szCs w:val="72"/>
                                </w:rPr>
                                <w:t xml:space="preserve"> Act Review</w:t>
                              </w:r>
                            </w:p>
                          </w:sdtContent>
                        </w:sdt>
                      </w:txbxContent>
                    </v:textbox>
                    <w10:wrap anchorx="page" anchory="page"/>
                  </v:rect>
                </w:pict>
              </mc:Fallback>
            </mc:AlternateContent>
          </w:r>
          <w:r w:rsidRPr="00751099">
            <w:rPr>
              <w:rFonts w:ascii="Century Gothic" w:hAnsi="Century Gothic"/>
              <w:noProof/>
              <w:sz w:val="20"/>
              <w:szCs w:val="20"/>
            </w:rPr>
            <w:drawing>
              <wp:anchor distT="0" distB="0" distL="114300" distR="114300" simplePos="0" relativeHeight="251658241" behindDoc="0" locked="0" layoutInCell="0" allowOverlap="1" wp14:anchorId="48FFD743" wp14:editId="3D5BDDE0">
                <wp:simplePos x="0" y="0"/>
                <wp:positionH relativeFrom="page">
                  <wp:posOffset>15240</wp:posOffset>
                </wp:positionH>
                <wp:positionV relativeFrom="page">
                  <wp:posOffset>3619500</wp:posOffset>
                </wp:positionV>
                <wp:extent cx="7592695" cy="5061585"/>
                <wp:effectExtent l="152400" t="152400" r="370205" b="36766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2695" cy="50615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B62BC" w:rsidRPr="00751099">
            <w:rPr>
              <w:rFonts w:ascii="Century Gothic" w:hAnsi="Century Gothic"/>
              <w:noProof/>
              <w:sz w:val="32"/>
              <w:szCs w:val="32"/>
            </w:rPr>
            <w:drawing>
              <wp:anchor distT="0" distB="0" distL="114300" distR="114300" simplePos="0" relativeHeight="251658243" behindDoc="0" locked="0" layoutInCell="1" allowOverlap="1" wp14:anchorId="2E7DDA79" wp14:editId="0BD6DD02">
                <wp:simplePos x="0" y="0"/>
                <wp:positionH relativeFrom="column">
                  <wp:posOffset>-781050</wp:posOffset>
                </wp:positionH>
                <wp:positionV relativeFrom="paragraph">
                  <wp:posOffset>567621</wp:posOffset>
                </wp:positionV>
                <wp:extent cx="4276725" cy="759460"/>
                <wp:effectExtent l="0" t="0" r="9525" b="2540"/>
                <wp:wrapSquare wrapText="bothSides"/>
                <wp:docPr id="1562414496" name="Picture 4" descr="P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14496" name="Picture 4" descr="P2#y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6725" cy="759460"/>
                        </a:xfrm>
                        <a:prstGeom prst="rect">
                          <a:avLst/>
                        </a:prstGeom>
                      </pic:spPr>
                    </pic:pic>
                  </a:graphicData>
                </a:graphic>
                <wp14:sizeRelH relativeFrom="margin">
                  <wp14:pctWidth>0</wp14:pctWidth>
                </wp14:sizeRelH>
                <wp14:sizeRelV relativeFrom="margin">
                  <wp14:pctHeight>0</wp14:pctHeight>
                </wp14:sizeRelV>
              </wp:anchor>
            </w:drawing>
          </w:r>
          <w:r w:rsidR="00FA3DFB" w:rsidRPr="00751099">
            <w:rPr>
              <w:rFonts w:ascii="Century Gothic" w:hAnsi="Century Gothic"/>
              <w:sz w:val="20"/>
              <w:szCs w:val="20"/>
            </w:rPr>
            <w:br w:type="page"/>
          </w:r>
        </w:p>
      </w:sdtContent>
    </w:sdt>
    <w:p w14:paraId="28AF3350" w14:textId="2B96DECC" w:rsidR="00E34481" w:rsidRPr="00751099" w:rsidRDefault="00257A85" w:rsidP="004B1ACD">
      <w:pPr>
        <w:pStyle w:val="Heading1"/>
      </w:pPr>
      <w:bookmarkStart w:id="0" w:name="_Toc233372719"/>
      <w:r w:rsidRPr="00751099">
        <w:lastRenderedPageBreak/>
        <w:t>Purpose</w:t>
      </w:r>
      <w:bookmarkEnd w:id="0"/>
    </w:p>
    <w:p w14:paraId="1E78F4AF" w14:textId="0EF09D84" w:rsidR="00B44082" w:rsidRPr="00751099" w:rsidRDefault="00641D15" w:rsidP="00E44E25">
      <w:pPr>
        <w:jc w:val="both"/>
        <w:rPr>
          <w:rFonts w:ascii="Century Gothic" w:hAnsi="Century Gothic"/>
          <w:sz w:val="20"/>
          <w:szCs w:val="20"/>
        </w:rPr>
      </w:pPr>
      <w:r w:rsidRPr="00751099">
        <w:rPr>
          <w:rFonts w:ascii="Century Gothic" w:hAnsi="Century Gothic"/>
          <w:sz w:val="20"/>
          <w:szCs w:val="20"/>
        </w:rPr>
        <w:t>The National Irrigators’ Council (NIC) provides this submission in response to the public consultation on the document “</w:t>
      </w:r>
      <w:r w:rsidRPr="00751099">
        <w:rPr>
          <w:rFonts w:ascii="Century Gothic" w:hAnsi="Century Gothic"/>
          <w:i/>
          <w:iCs/>
          <w:sz w:val="20"/>
          <w:szCs w:val="20"/>
        </w:rPr>
        <w:t>Strong Voices, Healthy Waters: upholding Aboriginal and Torres Strait Islander peoples’ water rights through the review of the Water Act 2007</w:t>
      </w:r>
      <w:r w:rsidRPr="00751099">
        <w:rPr>
          <w:rFonts w:ascii="Century Gothic" w:hAnsi="Century Gothic"/>
          <w:sz w:val="20"/>
          <w:szCs w:val="20"/>
        </w:rPr>
        <w:t>”</w:t>
      </w:r>
      <w:r w:rsidR="00032468" w:rsidRPr="00751099">
        <w:rPr>
          <w:rStyle w:val="FootnoteReference"/>
          <w:rFonts w:ascii="Century Gothic" w:hAnsi="Century Gothic"/>
          <w:sz w:val="20"/>
          <w:szCs w:val="20"/>
        </w:rPr>
        <w:footnoteReference w:id="1"/>
      </w:r>
      <w:r w:rsidRPr="00751099">
        <w:rPr>
          <w:rFonts w:ascii="Century Gothic" w:hAnsi="Century Gothic"/>
          <w:sz w:val="20"/>
          <w:szCs w:val="20"/>
        </w:rPr>
        <w:t xml:space="preserve">, published by DCCEEW in May 2026. This forms part of the </w:t>
      </w:r>
      <w:r w:rsidR="00B44082" w:rsidRPr="00751099">
        <w:rPr>
          <w:rFonts w:ascii="Century Gothic" w:hAnsi="Century Gothic"/>
          <w:sz w:val="20"/>
          <w:szCs w:val="20"/>
        </w:rPr>
        <w:t>broader statutory review of the Water Act 2007.</w:t>
      </w:r>
    </w:p>
    <w:p w14:paraId="0BF5FFC3" w14:textId="53874DD2" w:rsidR="00A04D0D" w:rsidRDefault="00B44082" w:rsidP="00E44E25">
      <w:pPr>
        <w:jc w:val="both"/>
        <w:rPr>
          <w:rFonts w:ascii="Century Gothic" w:hAnsi="Century Gothic"/>
          <w:sz w:val="20"/>
          <w:szCs w:val="20"/>
        </w:rPr>
      </w:pPr>
      <w:r w:rsidRPr="00751099">
        <w:rPr>
          <w:rFonts w:ascii="Century Gothic" w:hAnsi="Century Gothic"/>
          <w:sz w:val="20"/>
          <w:szCs w:val="20"/>
        </w:rPr>
        <w:t>NIC understands that submissions provided to the Basin Plan Review public consultation process will automatically be submitted to the Water Act Review</w:t>
      </w:r>
      <w:r w:rsidR="00482A12" w:rsidRPr="00751099">
        <w:rPr>
          <w:rFonts w:ascii="Century Gothic" w:hAnsi="Century Gothic"/>
          <w:sz w:val="20"/>
          <w:szCs w:val="20"/>
        </w:rPr>
        <w:t>, and refers to the comprehensive bodies of work completed by NIC</w:t>
      </w:r>
      <w:r w:rsidR="00A04D0D">
        <w:rPr>
          <w:rFonts w:ascii="Century Gothic" w:hAnsi="Century Gothic"/>
          <w:sz w:val="20"/>
          <w:szCs w:val="20"/>
        </w:rPr>
        <w:t>:</w:t>
      </w:r>
    </w:p>
    <w:p w14:paraId="7A778224" w14:textId="7B562ECA" w:rsidR="00A04D0D" w:rsidRDefault="00A04D0D" w:rsidP="00A04D0D">
      <w:pPr>
        <w:pStyle w:val="ListParagraph"/>
        <w:numPr>
          <w:ilvl w:val="0"/>
          <w:numId w:val="43"/>
        </w:numPr>
        <w:jc w:val="both"/>
        <w:rPr>
          <w:rFonts w:ascii="Century Gothic" w:hAnsi="Century Gothic"/>
          <w:sz w:val="20"/>
          <w:szCs w:val="20"/>
        </w:rPr>
      </w:pPr>
      <w:hyperlink r:id="rId15" w:history="1">
        <w:r w:rsidRPr="00A04D0D">
          <w:rPr>
            <w:rStyle w:val="Hyperlink"/>
            <w:rFonts w:ascii="Century Gothic" w:hAnsi="Century Gothic"/>
            <w:sz w:val="20"/>
            <w:szCs w:val="20"/>
          </w:rPr>
          <w:t>National Irrigators' Council - 'Moving Forward' Our Review of the Murray Darling Basin Plan</w:t>
        </w:r>
      </w:hyperlink>
    </w:p>
    <w:p w14:paraId="0996F00F" w14:textId="7BCF2123" w:rsidR="00767250" w:rsidRPr="00A04D0D" w:rsidRDefault="00767250" w:rsidP="00A04D0D">
      <w:pPr>
        <w:pStyle w:val="ListParagraph"/>
        <w:numPr>
          <w:ilvl w:val="0"/>
          <w:numId w:val="43"/>
        </w:numPr>
        <w:jc w:val="both"/>
        <w:rPr>
          <w:rFonts w:ascii="Century Gothic" w:hAnsi="Century Gothic"/>
          <w:sz w:val="20"/>
          <w:szCs w:val="20"/>
        </w:rPr>
      </w:pPr>
      <w:hyperlink r:id="rId16" w:history="1">
        <w:r w:rsidRPr="00767250">
          <w:rPr>
            <w:rStyle w:val="Hyperlink"/>
            <w:rFonts w:ascii="Century Gothic" w:hAnsi="Century Gothic"/>
            <w:sz w:val="20"/>
            <w:szCs w:val="20"/>
          </w:rPr>
          <w:t>National Irrigators' Council - Discussion Paper Submission</w:t>
        </w:r>
      </w:hyperlink>
    </w:p>
    <w:p w14:paraId="02232B46" w14:textId="769A024D" w:rsidR="004B1393" w:rsidRPr="00751099" w:rsidRDefault="00482A12" w:rsidP="00E44E25">
      <w:pPr>
        <w:jc w:val="both"/>
        <w:rPr>
          <w:rFonts w:ascii="Century Gothic" w:hAnsi="Century Gothic"/>
          <w:sz w:val="20"/>
          <w:szCs w:val="20"/>
        </w:rPr>
      </w:pPr>
      <w:r w:rsidRPr="00751099">
        <w:rPr>
          <w:rFonts w:ascii="Century Gothic" w:hAnsi="Century Gothic"/>
          <w:sz w:val="20"/>
          <w:szCs w:val="20"/>
        </w:rPr>
        <w:t xml:space="preserve">NIC </w:t>
      </w:r>
      <w:r w:rsidR="00767250">
        <w:rPr>
          <w:rFonts w:ascii="Century Gothic" w:hAnsi="Century Gothic"/>
          <w:sz w:val="20"/>
          <w:szCs w:val="20"/>
        </w:rPr>
        <w:t>notes</w:t>
      </w:r>
      <w:r w:rsidRPr="00751099">
        <w:rPr>
          <w:rFonts w:ascii="Century Gothic" w:hAnsi="Century Gothic"/>
          <w:sz w:val="20"/>
          <w:szCs w:val="20"/>
        </w:rPr>
        <w:t xml:space="preserve"> that public consultation on a broader range of </w:t>
      </w:r>
      <w:r w:rsidR="00767250">
        <w:rPr>
          <w:rFonts w:ascii="Century Gothic" w:hAnsi="Century Gothic"/>
          <w:sz w:val="20"/>
          <w:szCs w:val="20"/>
        </w:rPr>
        <w:t>topic areas</w:t>
      </w:r>
      <w:r w:rsidRPr="00751099">
        <w:rPr>
          <w:rFonts w:ascii="Century Gothic" w:hAnsi="Century Gothic"/>
          <w:sz w:val="20"/>
          <w:szCs w:val="20"/>
        </w:rPr>
        <w:t xml:space="preserve"> will also be occurring in July-August and November this year</w:t>
      </w:r>
      <w:r w:rsidR="006336E0">
        <w:rPr>
          <w:rFonts w:ascii="Century Gothic" w:hAnsi="Century Gothic"/>
          <w:sz w:val="20"/>
          <w:szCs w:val="20"/>
        </w:rPr>
        <w:t xml:space="preserve">, to which NIC will be participating. </w:t>
      </w:r>
      <w:r w:rsidRPr="00751099">
        <w:rPr>
          <w:rFonts w:ascii="Century Gothic" w:hAnsi="Century Gothic"/>
          <w:sz w:val="20"/>
          <w:szCs w:val="20"/>
        </w:rPr>
        <w:t xml:space="preserve"> </w:t>
      </w:r>
    </w:p>
    <w:p w14:paraId="6477888F" w14:textId="77777777" w:rsidR="00C05FF2" w:rsidRPr="00751099" w:rsidRDefault="00C05FF2" w:rsidP="00C05FF2">
      <w:pPr>
        <w:jc w:val="both"/>
        <w:rPr>
          <w:rFonts w:ascii="Century Gothic" w:hAnsi="Century Gothic"/>
          <w:sz w:val="20"/>
          <w:szCs w:val="20"/>
        </w:rPr>
      </w:pPr>
      <w:r w:rsidRPr="00751099">
        <w:rPr>
          <w:rFonts w:ascii="Century Gothic" w:hAnsi="Century Gothic"/>
          <w:sz w:val="20"/>
          <w:szCs w:val="20"/>
        </w:rPr>
        <w:t>In accordance with section 253 of the Act:</w:t>
      </w:r>
    </w:p>
    <w:p w14:paraId="58BEB256" w14:textId="3A98B44E" w:rsidR="00C05FF2" w:rsidRPr="00751099" w:rsidRDefault="00C05FF2" w:rsidP="00C05FF2">
      <w:pPr>
        <w:ind w:left="720"/>
        <w:jc w:val="both"/>
        <w:rPr>
          <w:rFonts w:ascii="Century Gothic" w:hAnsi="Century Gothic"/>
          <w:i/>
          <w:iCs/>
          <w:sz w:val="20"/>
          <w:szCs w:val="20"/>
        </w:rPr>
      </w:pPr>
      <w:r w:rsidRPr="00751099">
        <w:rPr>
          <w:rFonts w:ascii="Century Gothic" w:hAnsi="Century Gothic"/>
          <w:i/>
          <w:iCs/>
          <w:sz w:val="20"/>
          <w:szCs w:val="20"/>
        </w:rPr>
        <w:t xml:space="preserve">The review must also identify opportunities under this Act to promote the principles set out in the </w:t>
      </w:r>
      <w:r w:rsidRPr="00751099">
        <w:rPr>
          <w:rFonts w:ascii="Century Gothic" w:hAnsi="Century Gothic"/>
          <w:b/>
          <w:bCs/>
          <w:i/>
          <w:iCs/>
          <w:sz w:val="20"/>
          <w:szCs w:val="20"/>
        </w:rPr>
        <w:t>United Nations Declaration on the Rights of Indigenous Peoples</w:t>
      </w:r>
      <w:r w:rsidRPr="00751099">
        <w:rPr>
          <w:rFonts w:ascii="Century Gothic" w:hAnsi="Century Gothic"/>
          <w:i/>
          <w:iCs/>
          <w:sz w:val="20"/>
          <w:szCs w:val="20"/>
        </w:rPr>
        <w:t xml:space="preserve">, being the Resolution adopted by the General Assembly of the United Nations on </w:t>
      </w:r>
      <w:r w:rsidR="005E6D25" w:rsidRPr="00751099">
        <w:rPr>
          <w:rFonts w:ascii="Century Gothic" w:hAnsi="Century Gothic"/>
          <w:i/>
          <w:iCs/>
          <w:sz w:val="20"/>
          <w:szCs w:val="20"/>
        </w:rPr>
        <w:t>13 September</w:t>
      </w:r>
      <w:r w:rsidRPr="00751099">
        <w:rPr>
          <w:rFonts w:ascii="Century Gothic" w:hAnsi="Century Gothic"/>
          <w:i/>
          <w:iCs/>
          <w:sz w:val="20"/>
          <w:szCs w:val="20"/>
        </w:rPr>
        <w:t xml:space="preserve"> 2007.</w:t>
      </w:r>
    </w:p>
    <w:p w14:paraId="37813C2A" w14:textId="66D678D7" w:rsidR="007D2FE5" w:rsidRPr="00751099" w:rsidRDefault="00800F43" w:rsidP="00E44E25">
      <w:pPr>
        <w:jc w:val="both"/>
        <w:rPr>
          <w:rFonts w:ascii="Century Gothic" w:hAnsi="Century Gothic"/>
          <w:sz w:val="20"/>
          <w:szCs w:val="20"/>
        </w:rPr>
      </w:pPr>
      <w:r w:rsidRPr="00751099">
        <w:rPr>
          <w:rFonts w:ascii="Century Gothic" w:hAnsi="Century Gothic"/>
          <w:sz w:val="20"/>
          <w:szCs w:val="20"/>
        </w:rPr>
        <w:t xml:space="preserve">This submission seeks to directly provide input to this statutory requirement. </w:t>
      </w:r>
    </w:p>
    <w:p w14:paraId="2B547370" w14:textId="492FD876" w:rsidR="00801642" w:rsidRPr="00751099" w:rsidRDefault="00801642" w:rsidP="00900C17">
      <w:pPr>
        <w:pStyle w:val="Heading1"/>
        <w:rPr>
          <w:rFonts w:ascii="Century Gothic" w:hAnsi="Century Gothic"/>
          <w:sz w:val="36"/>
          <w:szCs w:val="36"/>
        </w:rPr>
      </w:pPr>
      <w:bookmarkStart w:id="1" w:name="_Toc233372720"/>
      <w:r w:rsidRPr="00751099">
        <w:rPr>
          <w:rFonts w:ascii="Century Gothic" w:hAnsi="Century Gothic"/>
          <w:sz w:val="36"/>
          <w:szCs w:val="36"/>
        </w:rPr>
        <w:t>Overview</w:t>
      </w:r>
      <w:bookmarkEnd w:id="1"/>
    </w:p>
    <w:p w14:paraId="6EA0F937" w14:textId="1C448B0A" w:rsidR="005B6E48" w:rsidRPr="00751099" w:rsidRDefault="005B6E48" w:rsidP="00E44E25">
      <w:pPr>
        <w:jc w:val="both"/>
        <w:rPr>
          <w:rFonts w:ascii="Century Gothic" w:hAnsi="Century Gothic"/>
          <w:sz w:val="20"/>
          <w:szCs w:val="20"/>
        </w:rPr>
      </w:pPr>
      <w:r w:rsidRPr="00751099">
        <w:rPr>
          <w:rFonts w:ascii="Century Gothic" w:hAnsi="Century Gothic"/>
          <w:sz w:val="20"/>
          <w:szCs w:val="20"/>
        </w:rPr>
        <w:t>Key points raised in this submission include:</w:t>
      </w:r>
    </w:p>
    <w:p w14:paraId="00C32DE7" w14:textId="2D47CEE5" w:rsidR="004D2FE4" w:rsidRPr="00751099" w:rsidRDefault="007F623C" w:rsidP="00E44E25">
      <w:pPr>
        <w:pStyle w:val="ListParagraph"/>
        <w:numPr>
          <w:ilvl w:val="0"/>
          <w:numId w:val="18"/>
        </w:numPr>
        <w:jc w:val="both"/>
        <w:rPr>
          <w:rFonts w:ascii="Century Gothic" w:hAnsi="Century Gothic"/>
          <w:sz w:val="20"/>
          <w:szCs w:val="20"/>
        </w:rPr>
      </w:pPr>
      <w:r w:rsidRPr="00751099">
        <w:rPr>
          <w:rFonts w:ascii="Century Gothic" w:hAnsi="Century Gothic"/>
          <w:sz w:val="20"/>
          <w:szCs w:val="20"/>
        </w:rPr>
        <w:t>NIC acknowledges the traditional owners of country; their deep connection with land and water, and the strong spiritual obligation of Aboriginal people to care for country.</w:t>
      </w:r>
    </w:p>
    <w:p w14:paraId="346C5764" w14:textId="0D705BD7" w:rsidR="00A66022" w:rsidRPr="00A66022" w:rsidRDefault="00A66022" w:rsidP="00A66022">
      <w:pPr>
        <w:pStyle w:val="ListParagraph"/>
        <w:numPr>
          <w:ilvl w:val="0"/>
          <w:numId w:val="18"/>
        </w:numPr>
        <w:rPr>
          <w:rFonts w:ascii="Century Gothic" w:hAnsi="Century Gothic"/>
          <w:sz w:val="20"/>
          <w:szCs w:val="20"/>
        </w:rPr>
      </w:pPr>
      <w:r w:rsidRPr="00A66022">
        <w:rPr>
          <w:rFonts w:ascii="Century Gothic" w:hAnsi="Century Gothic"/>
          <w:sz w:val="20"/>
          <w:szCs w:val="20"/>
        </w:rPr>
        <w:t>NIC supports the use, access and management of water for Cultural objectives, within the current water management framework.</w:t>
      </w:r>
    </w:p>
    <w:p w14:paraId="55733F0A" w14:textId="2A17633A" w:rsidR="008F7FCA" w:rsidRDefault="00E469B1" w:rsidP="008F7FCA">
      <w:pPr>
        <w:pStyle w:val="ListParagraph"/>
        <w:numPr>
          <w:ilvl w:val="0"/>
          <w:numId w:val="18"/>
        </w:numPr>
        <w:jc w:val="both"/>
        <w:rPr>
          <w:rFonts w:ascii="Century Gothic" w:hAnsi="Century Gothic"/>
          <w:sz w:val="20"/>
          <w:szCs w:val="20"/>
        </w:rPr>
      </w:pPr>
      <w:r>
        <w:rPr>
          <w:rFonts w:ascii="Century Gothic" w:hAnsi="Century Gothic"/>
          <w:sz w:val="20"/>
          <w:szCs w:val="20"/>
        </w:rPr>
        <w:t>NIC is concerned that the public consultation documents to date</w:t>
      </w:r>
      <w:r w:rsidR="0072279E">
        <w:rPr>
          <w:rFonts w:ascii="Century Gothic" w:hAnsi="Century Gothic"/>
          <w:sz w:val="20"/>
          <w:szCs w:val="20"/>
        </w:rPr>
        <w:t xml:space="preserve"> are very high-level – for example, they</w:t>
      </w:r>
      <w:r>
        <w:rPr>
          <w:rFonts w:ascii="Century Gothic" w:hAnsi="Century Gothic"/>
          <w:sz w:val="20"/>
          <w:szCs w:val="20"/>
        </w:rPr>
        <w:t xml:space="preserve"> do not </w:t>
      </w:r>
      <w:r w:rsidR="00D93CA0">
        <w:rPr>
          <w:rFonts w:ascii="Century Gothic" w:hAnsi="Century Gothic"/>
          <w:sz w:val="20"/>
          <w:szCs w:val="20"/>
        </w:rPr>
        <w:t>identify</w:t>
      </w:r>
      <w:r w:rsidR="008F7FCA">
        <w:rPr>
          <w:rFonts w:ascii="Century Gothic" w:hAnsi="Century Gothic"/>
          <w:sz w:val="20"/>
          <w:szCs w:val="20"/>
        </w:rPr>
        <w:t xml:space="preserve"> c</w:t>
      </w:r>
      <w:r w:rsidRPr="008F7FCA">
        <w:rPr>
          <w:rFonts w:ascii="Century Gothic" w:hAnsi="Century Gothic"/>
          <w:sz w:val="20"/>
          <w:szCs w:val="20"/>
        </w:rPr>
        <w:t>urrent arrangements for Indigenous rights at both a State and Commonwealth level</w:t>
      </w:r>
      <w:r w:rsidR="006B6700">
        <w:rPr>
          <w:rFonts w:ascii="Century Gothic" w:hAnsi="Century Gothic"/>
          <w:sz w:val="20"/>
          <w:szCs w:val="20"/>
        </w:rPr>
        <w:t xml:space="preserve">, which may lead to a poor understanding of the status quo, issues and opportunities. </w:t>
      </w:r>
      <w:r w:rsidR="005B1FDD">
        <w:rPr>
          <w:rFonts w:ascii="Century Gothic" w:hAnsi="Century Gothic"/>
          <w:sz w:val="20"/>
          <w:szCs w:val="20"/>
        </w:rPr>
        <w:t xml:space="preserve">They also do not explore what is being proposed in a practical sense, making it challenging for stakeholders to provide comment. </w:t>
      </w:r>
    </w:p>
    <w:p w14:paraId="1F0A078E" w14:textId="22A7A17F" w:rsidR="009630E0" w:rsidRDefault="009630E0" w:rsidP="008F7FCA">
      <w:pPr>
        <w:pStyle w:val="ListParagraph"/>
        <w:numPr>
          <w:ilvl w:val="0"/>
          <w:numId w:val="18"/>
        </w:numPr>
        <w:jc w:val="both"/>
        <w:rPr>
          <w:rFonts w:ascii="Century Gothic" w:hAnsi="Century Gothic"/>
          <w:sz w:val="20"/>
          <w:szCs w:val="20"/>
        </w:rPr>
      </w:pPr>
      <w:r>
        <w:rPr>
          <w:rFonts w:ascii="Century Gothic" w:hAnsi="Century Gothic"/>
          <w:sz w:val="20"/>
          <w:szCs w:val="20"/>
        </w:rPr>
        <w:t xml:space="preserve">NIC appreciates the technical complexity of the water management </w:t>
      </w:r>
      <w:r w:rsidR="005E6D25">
        <w:rPr>
          <w:rFonts w:ascii="Century Gothic" w:hAnsi="Century Gothic"/>
          <w:sz w:val="20"/>
          <w:szCs w:val="20"/>
        </w:rPr>
        <w:t>framework and</w:t>
      </w:r>
      <w:r>
        <w:rPr>
          <w:rFonts w:ascii="Century Gothic" w:hAnsi="Century Gothic"/>
          <w:sz w:val="20"/>
          <w:szCs w:val="20"/>
        </w:rPr>
        <w:t xml:space="preserve"> calls on this review to provide the appropriate technical resources to ensure the findings are factually accurate</w:t>
      </w:r>
      <w:r w:rsidR="002126FC">
        <w:rPr>
          <w:rFonts w:ascii="Century Gothic" w:hAnsi="Century Gothic"/>
          <w:sz w:val="20"/>
          <w:szCs w:val="20"/>
        </w:rPr>
        <w:t xml:space="preserve"> and reflective of this framework</w:t>
      </w:r>
      <w:r w:rsidR="0019794B">
        <w:rPr>
          <w:rFonts w:ascii="Century Gothic" w:hAnsi="Century Gothic"/>
          <w:sz w:val="20"/>
          <w:szCs w:val="20"/>
        </w:rPr>
        <w:t xml:space="preserve">. </w:t>
      </w:r>
      <w:r w:rsidR="00340FFE">
        <w:rPr>
          <w:rFonts w:ascii="Century Gothic" w:hAnsi="Century Gothic"/>
          <w:sz w:val="20"/>
          <w:szCs w:val="20"/>
        </w:rPr>
        <w:t>Some of the statements in the materials to date are incorrect.</w:t>
      </w:r>
      <w:r>
        <w:rPr>
          <w:rFonts w:ascii="Century Gothic" w:hAnsi="Century Gothic"/>
          <w:sz w:val="20"/>
          <w:szCs w:val="20"/>
        </w:rPr>
        <w:t xml:space="preserve"> </w:t>
      </w:r>
    </w:p>
    <w:p w14:paraId="64C52A27" w14:textId="28C7200C" w:rsidR="001D4FDE" w:rsidRDefault="001D4FDE" w:rsidP="008F7FCA">
      <w:pPr>
        <w:pStyle w:val="ListParagraph"/>
        <w:numPr>
          <w:ilvl w:val="0"/>
          <w:numId w:val="18"/>
        </w:numPr>
        <w:jc w:val="both"/>
        <w:rPr>
          <w:rFonts w:ascii="Century Gothic" w:hAnsi="Century Gothic"/>
          <w:sz w:val="20"/>
          <w:szCs w:val="20"/>
        </w:rPr>
      </w:pPr>
      <w:r>
        <w:rPr>
          <w:rFonts w:ascii="Century Gothic" w:hAnsi="Century Gothic"/>
          <w:sz w:val="20"/>
          <w:szCs w:val="20"/>
        </w:rPr>
        <w:t xml:space="preserve">The role and scope of the Water Act 2007 (Cth) </w:t>
      </w:r>
      <w:r w:rsidR="00030DF1">
        <w:rPr>
          <w:rFonts w:ascii="Century Gothic" w:hAnsi="Century Gothic"/>
          <w:sz w:val="20"/>
          <w:szCs w:val="20"/>
        </w:rPr>
        <w:t>within Australia’</w:t>
      </w:r>
      <w:r w:rsidR="00A82CED">
        <w:rPr>
          <w:rFonts w:ascii="Century Gothic" w:hAnsi="Century Gothic"/>
          <w:sz w:val="20"/>
          <w:szCs w:val="20"/>
        </w:rPr>
        <w:t>s</w:t>
      </w:r>
      <w:r w:rsidR="00030DF1">
        <w:rPr>
          <w:rFonts w:ascii="Century Gothic" w:hAnsi="Century Gothic"/>
          <w:sz w:val="20"/>
          <w:szCs w:val="20"/>
        </w:rPr>
        <w:t xml:space="preserve"> Constitution </w:t>
      </w:r>
      <w:r>
        <w:rPr>
          <w:rFonts w:ascii="Century Gothic" w:hAnsi="Century Gothic"/>
          <w:sz w:val="20"/>
          <w:szCs w:val="20"/>
        </w:rPr>
        <w:t xml:space="preserve">must be considered to determine </w:t>
      </w:r>
      <w:r w:rsidR="00A82CED">
        <w:rPr>
          <w:rFonts w:ascii="Century Gothic" w:hAnsi="Century Gothic"/>
          <w:sz w:val="20"/>
          <w:szCs w:val="20"/>
        </w:rPr>
        <w:t xml:space="preserve">the legislative </w:t>
      </w:r>
      <w:r>
        <w:rPr>
          <w:rFonts w:ascii="Century Gothic" w:hAnsi="Century Gothic"/>
          <w:sz w:val="20"/>
          <w:szCs w:val="20"/>
        </w:rPr>
        <w:t xml:space="preserve">capabilities to address many of the issues </w:t>
      </w:r>
      <w:r w:rsidR="005E6D25">
        <w:rPr>
          <w:rFonts w:ascii="Century Gothic" w:hAnsi="Century Gothic"/>
          <w:sz w:val="20"/>
          <w:szCs w:val="20"/>
        </w:rPr>
        <w:t>raised</w:t>
      </w:r>
      <w:r>
        <w:rPr>
          <w:rFonts w:ascii="Century Gothic" w:hAnsi="Century Gothic"/>
          <w:sz w:val="20"/>
          <w:szCs w:val="20"/>
        </w:rPr>
        <w:t xml:space="preserve"> given water remains managed by the </w:t>
      </w:r>
      <w:r w:rsidR="005E6D25">
        <w:rPr>
          <w:rFonts w:ascii="Century Gothic" w:hAnsi="Century Gothic"/>
          <w:sz w:val="20"/>
          <w:szCs w:val="20"/>
        </w:rPr>
        <w:t>States.</w:t>
      </w:r>
      <w:r w:rsidR="00D82009">
        <w:rPr>
          <w:rFonts w:ascii="Century Gothic" w:hAnsi="Century Gothic"/>
          <w:sz w:val="20"/>
          <w:szCs w:val="20"/>
        </w:rPr>
        <w:t xml:space="preserve"> This is not to belittle any issues raised, rather, to ensure expectations do not exceed what this instrument can deliver. </w:t>
      </w:r>
      <w:r w:rsidR="00FF6256">
        <w:rPr>
          <w:rFonts w:ascii="Century Gothic" w:hAnsi="Century Gothic"/>
          <w:sz w:val="20"/>
          <w:szCs w:val="20"/>
        </w:rPr>
        <w:t>For this reason, it is important for the review to e</w:t>
      </w:r>
      <w:r w:rsidR="005050A0">
        <w:rPr>
          <w:rFonts w:ascii="Century Gothic" w:hAnsi="Century Gothic"/>
          <w:sz w:val="20"/>
          <w:szCs w:val="20"/>
        </w:rPr>
        <w:t>xplor</w:t>
      </w:r>
      <w:r w:rsidR="004F5D54">
        <w:rPr>
          <w:rFonts w:ascii="Century Gothic" w:hAnsi="Century Gothic"/>
          <w:sz w:val="20"/>
          <w:szCs w:val="20"/>
        </w:rPr>
        <w:t>e</w:t>
      </w:r>
      <w:r w:rsidR="005050A0">
        <w:rPr>
          <w:rFonts w:ascii="Century Gothic" w:hAnsi="Century Gothic"/>
          <w:sz w:val="20"/>
          <w:szCs w:val="20"/>
        </w:rPr>
        <w:t xml:space="preserve"> both statutory and non-statutory </w:t>
      </w:r>
      <w:r w:rsidR="005050A0">
        <w:rPr>
          <w:rFonts w:ascii="Century Gothic" w:hAnsi="Century Gothic"/>
          <w:sz w:val="20"/>
          <w:szCs w:val="20"/>
        </w:rPr>
        <w:lastRenderedPageBreak/>
        <w:t>pathways</w:t>
      </w:r>
      <w:r w:rsidR="00FF6256">
        <w:rPr>
          <w:rFonts w:ascii="Century Gothic" w:hAnsi="Century Gothic"/>
          <w:sz w:val="20"/>
          <w:szCs w:val="20"/>
        </w:rPr>
        <w:t xml:space="preserve">, as a collective government </w:t>
      </w:r>
      <w:r w:rsidR="003848B4">
        <w:rPr>
          <w:rFonts w:ascii="Century Gothic" w:hAnsi="Century Gothic"/>
          <w:sz w:val="20"/>
          <w:szCs w:val="20"/>
        </w:rPr>
        <w:t xml:space="preserve">approach to promoting the principles of UNDRIP will be important </w:t>
      </w:r>
      <w:r w:rsidR="00FF6256">
        <w:rPr>
          <w:rFonts w:ascii="Century Gothic" w:hAnsi="Century Gothic"/>
          <w:sz w:val="20"/>
          <w:szCs w:val="20"/>
        </w:rPr>
        <w:t>(not just within one element the Water Act)</w:t>
      </w:r>
      <w:r w:rsidR="005050A0">
        <w:rPr>
          <w:rFonts w:ascii="Century Gothic" w:hAnsi="Century Gothic"/>
          <w:sz w:val="20"/>
          <w:szCs w:val="20"/>
        </w:rPr>
        <w:t xml:space="preserve">. </w:t>
      </w:r>
    </w:p>
    <w:p w14:paraId="4D15DF9D" w14:textId="7F50B597" w:rsidR="00F964DC" w:rsidRDefault="001D4FDE" w:rsidP="008F7FCA">
      <w:pPr>
        <w:pStyle w:val="ListParagraph"/>
        <w:numPr>
          <w:ilvl w:val="0"/>
          <w:numId w:val="18"/>
        </w:numPr>
        <w:jc w:val="both"/>
        <w:rPr>
          <w:rFonts w:ascii="Century Gothic" w:hAnsi="Century Gothic"/>
          <w:sz w:val="20"/>
          <w:szCs w:val="20"/>
        </w:rPr>
      </w:pPr>
      <w:r>
        <w:rPr>
          <w:rFonts w:ascii="Century Gothic" w:hAnsi="Century Gothic"/>
          <w:sz w:val="20"/>
          <w:szCs w:val="20"/>
        </w:rPr>
        <w:t xml:space="preserve">Any legislative amendments being contemplated must be done so in a manner that is consistent with the current NWI </w:t>
      </w:r>
      <w:r w:rsidRPr="00751099">
        <w:rPr>
          <w:rFonts w:ascii="Century Gothic" w:hAnsi="Century Gothic"/>
          <w:sz w:val="20"/>
          <w:szCs w:val="20"/>
        </w:rPr>
        <w:t>water management</w:t>
      </w:r>
      <w:r>
        <w:rPr>
          <w:rFonts w:ascii="Century Gothic" w:hAnsi="Century Gothic"/>
          <w:sz w:val="20"/>
          <w:szCs w:val="20"/>
        </w:rPr>
        <w:t xml:space="preserve"> framework</w:t>
      </w:r>
      <w:r w:rsidR="00B975AB">
        <w:rPr>
          <w:rFonts w:ascii="Century Gothic" w:hAnsi="Century Gothic"/>
          <w:sz w:val="20"/>
          <w:szCs w:val="20"/>
        </w:rPr>
        <w:t>.</w:t>
      </w:r>
      <w:r w:rsidR="008F3EA6">
        <w:rPr>
          <w:rFonts w:ascii="Century Gothic" w:hAnsi="Century Gothic"/>
          <w:sz w:val="20"/>
          <w:szCs w:val="20"/>
        </w:rPr>
        <w:t xml:space="preserve">  </w:t>
      </w:r>
    </w:p>
    <w:p w14:paraId="7F0402C2" w14:textId="73C14710" w:rsidR="00385A93" w:rsidRPr="00385A93" w:rsidRDefault="00385A93" w:rsidP="00385A93">
      <w:pPr>
        <w:pStyle w:val="ListParagraph"/>
        <w:numPr>
          <w:ilvl w:val="0"/>
          <w:numId w:val="18"/>
        </w:numPr>
        <w:rPr>
          <w:rFonts w:ascii="Century Gothic" w:hAnsi="Century Gothic"/>
          <w:sz w:val="20"/>
          <w:szCs w:val="20"/>
        </w:rPr>
      </w:pPr>
      <w:r w:rsidRPr="00751099">
        <w:rPr>
          <w:rFonts w:ascii="Century Gothic" w:hAnsi="Century Gothic"/>
          <w:sz w:val="20"/>
          <w:szCs w:val="20"/>
        </w:rPr>
        <w:t>There must be no third-party impacts on current water entitlements, their reliability, nor any legal or practical changes to entitlement characteristics, from any initiative or program - including Cultural and environmental flows.</w:t>
      </w:r>
    </w:p>
    <w:p w14:paraId="7B145CD4" w14:textId="07D8250B" w:rsidR="001D4FDE" w:rsidRPr="00F964DC" w:rsidRDefault="00F964DC" w:rsidP="00F964DC">
      <w:pPr>
        <w:pStyle w:val="ListParagraph"/>
        <w:numPr>
          <w:ilvl w:val="0"/>
          <w:numId w:val="45"/>
        </w:numPr>
        <w:rPr>
          <w:rFonts w:ascii="Century Gothic" w:hAnsi="Century Gothic"/>
          <w:sz w:val="20"/>
          <w:szCs w:val="20"/>
        </w:rPr>
      </w:pPr>
      <w:r>
        <w:rPr>
          <w:rFonts w:ascii="Century Gothic" w:hAnsi="Century Gothic"/>
          <w:sz w:val="20"/>
          <w:szCs w:val="20"/>
        </w:rPr>
        <w:t xml:space="preserve">Any legislative amendments being considered to give effect to a renewed NWI / NWA can only occur after the agreement of the States and Territories has been obtained, to continue the critically important legacy of state cooperation. </w:t>
      </w:r>
      <w:r w:rsidR="00853D57">
        <w:rPr>
          <w:rFonts w:ascii="Century Gothic" w:hAnsi="Century Gothic"/>
          <w:sz w:val="20"/>
          <w:szCs w:val="20"/>
        </w:rPr>
        <w:t>The focus of the renewed NWA on First Nations water is particularly relevant, including the feedback provided across stakeholders and state governments to DCCEEW on the most recent</w:t>
      </w:r>
      <w:r w:rsidR="005050A0">
        <w:rPr>
          <w:rFonts w:ascii="Century Gothic" w:hAnsi="Century Gothic"/>
          <w:sz w:val="20"/>
          <w:szCs w:val="20"/>
        </w:rPr>
        <w:t xml:space="preserve"> publicly-available</w:t>
      </w:r>
      <w:r w:rsidR="00853D57">
        <w:rPr>
          <w:rFonts w:ascii="Century Gothic" w:hAnsi="Century Gothic"/>
          <w:sz w:val="20"/>
          <w:szCs w:val="20"/>
        </w:rPr>
        <w:t xml:space="preserve"> version.</w:t>
      </w:r>
    </w:p>
    <w:p w14:paraId="18B89C01" w14:textId="2620ED56" w:rsidR="009E03EF" w:rsidRDefault="006833DC" w:rsidP="00CC7DA6">
      <w:pPr>
        <w:pStyle w:val="Heading2"/>
      </w:pPr>
      <w:bookmarkStart w:id="2" w:name="_Toc233372721"/>
      <w:r>
        <w:rPr>
          <w:rFonts w:ascii="Century Gothic" w:hAnsi="Century Gothic"/>
          <w:sz w:val="20"/>
          <w:szCs w:val="20"/>
        </w:rPr>
        <w:t>Recommendations</w:t>
      </w:r>
    </w:p>
    <w:p w14:paraId="355AF484" w14:textId="7E04C9A4" w:rsidR="002F07E3" w:rsidRDefault="00CC7DA6" w:rsidP="00CC7DA6">
      <w:pPr>
        <w:pStyle w:val="Heading2"/>
      </w:pPr>
      <w:r>
        <w:t>Recommendations</w:t>
      </w:r>
      <w:bookmarkEnd w:id="2"/>
    </w:p>
    <w:p w14:paraId="276D93FF" w14:textId="72DF26EB" w:rsidR="00CC7DA6" w:rsidRPr="00CC7DA6" w:rsidRDefault="00CC7DA6" w:rsidP="00CC7DA6">
      <w:r>
        <w:t>&lt;insert final recommendations&gt;</w:t>
      </w:r>
    </w:p>
    <w:p w14:paraId="1DFDBE9D" w14:textId="29B16DAB" w:rsidR="004B1393" w:rsidRPr="00751099" w:rsidRDefault="004B1393" w:rsidP="00900C17">
      <w:pPr>
        <w:pStyle w:val="Heading1"/>
        <w:rPr>
          <w:rFonts w:ascii="Century Gothic" w:hAnsi="Century Gothic"/>
          <w:sz w:val="36"/>
          <w:szCs w:val="36"/>
        </w:rPr>
      </w:pPr>
      <w:bookmarkStart w:id="3" w:name="_Toc233372722"/>
      <w:r w:rsidRPr="00751099">
        <w:rPr>
          <w:rFonts w:ascii="Century Gothic" w:hAnsi="Century Gothic"/>
          <w:sz w:val="36"/>
          <w:szCs w:val="36"/>
        </w:rPr>
        <w:t>About us</w:t>
      </w:r>
      <w:bookmarkEnd w:id="3"/>
    </w:p>
    <w:p w14:paraId="36E2E845" w14:textId="77777777" w:rsidR="002A234B" w:rsidRPr="00751099" w:rsidRDefault="004B1393" w:rsidP="00E44E25">
      <w:pPr>
        <w:jc w:val="both"/>
        <w:rPr>
          <w:rFonts w:ascii="Century Gothic" w:hAnsi="Century Gothic"/>
          <w:sz w:val="20"/>
          <w:szCs w:val="20"/>
        </w:rPr>
      </w:pPr>
      <w:r w:rsidRPr="00751099">
        <w:rPr>
          <w:rFonts w:ascii="Century Gothic" w:hAnsi="Century Gothic"/>
          <w:sz w:val="20"/>
          <w:szCs w:val="20"/>
        </w:rPr>
        <w:t>The National Irrigators’ Council (NIC) is the peak industry body for irrigated agriculture in Australia. NIC is the voice of irrigation entitlement holders, water delivery operators and industries involved in food and fibre production.</w:t>
      </w:r>
      <w:r w:rsidR="00D55E42" w:rsidRPr="00751099">
        <w:rPr>
          <w:rFonts w:ascii="Century Gothic" w:hAnsi="Century Gothic"/>
          <w:sz w:val="20"/>
          <w:szCs w:val="20"/>
        </w:rPr>
        <w:t xml:space="preserve"> </w:t>
      </w:r>
    </w:p>
    <w:sdt>
      <w:sdtPr>
        <w:rPr>
          <w:rFonts w:ascii="Century Gothic" w:eastAsiaTheme="minorHAnsi" w:hAnsi="Century Gothic" w:cstheme="minorBidi"/>
          <w:color w:val="auto"/>
          <w:kern w:val="2"/>
          <w:sz w:val="20"/>
          <w:szCs w:val="20"/>
          <w:lang w:val="en-AU"/>
          <w14:ligatures w14:val="standardContextual"/>
        </w:rPr>
        <w:id w:val="-1462264452"/>
        <w:docPartObj>
          <w:docPartGallery w:val="Table of Contents"/>
          <w:docPartUnique/>
        </w:docPartObj>
      </w:sdtPr>
      <w:sdtEndPr>
        <w:rPr>
          <w:b/>
          <w:bCs/>
          <w:noProof/>
        </w:rPr>
      </w:sdtEndPr>
      <w:sdtContent>
        <w:p w14:paraId="60B27D3F" w14:textId="2DE20F26" w:rsidR="00E3702A" w:rsidRPr="001D4FDE" w:rsidRDefault="00E3702A" w:rsidP="00900C17">
          <w:pPr>
            <w:pStyle w:val="TOCHeading"/>
            <w:rPr>
              <w:rFonts w:ascii="Century Gothic" w:hAnsi="Century Gothic"/>
              <w:kern w:val="2"/>
              <w:sz w:val="36"/>
              <w:szCs w:val="36"/>
              <w:lang w:val="en-AU"/>
              <w14:ligatures w14:val="standardContextual"/>
            </w:rPr>
          </w:pPr>
          <w:r w:rsidRPr="001D4FDE">
            <w:rPr>
              <w:rFonts w:ascii="Century Gothic" w:hAnsi="Century Gothic"/>
              <w:kern w:val="2"/>
              <w:sz w:val="36"/>
              <w:szCs w:val="36"/>
              <w:lang w:val="en-AU"/>
              <w14:ligatures w14:val="standardContextual"/>
            </w:rPr>
            <w:t>Contents</w:t>
          </w:r>
        </w:p>
        <w:p w14:paraId="35C97B50" w14:textId="28669976" w:rsidR="00CC7DA6" w:rsidRDefault="00E3702A">
          <w:pPr>
            <w:pStyle w:val="TOC1"/>
            <w:tabs>
              <w:tab w:val="right" w:leader="dot" w:pos="9016"/>
            </w:tabs>
            <w:rPr>
              <w:rFonts w:eastAsiaTheme="minorEastAsia"/>
              <w:noProof/>
              <w:sz w:val="24"/>
              <w:szCs w:val="24"/>
              <w:lang w:eastAsia="en-AU"/>
            </w:rPr>
          </w:pPr>
          <w:r w:rsidRPr="00751099">
            <w:rPr>
              <w:rFonts w:ascii="Century Gothic" w:hAnsi="Century Gothic"/>
              <w:sz w:val="20"/>
              <w:szCs w:val="20"/>
            </w:rPr>
            <w:fldChar w:fldCharType="begin"/>
          </w:r>
          <w:r w:rsidRPr="00751099">
            <w:rPr>
              <w:rFonts w:ascii="Century Gothic" w:hAnsi="Century Gothic"/>
              <w:sz w:val="20"/>
              <w:szCs w:val="20"/>
            </w:rPr>
            <w:instrText xml:space="preserve"> TOC \o "1-3" \h \z \u </w:instrText>
          </w:r>
          <w:r w:rsidRPr="00751099">
            <w:rPr>
              <w:rFonts w:ascii="Century Gothic" w:hAnsi="Century Gothic"/>
              <w:sz w:val="20"/>
              <w:szCs w:val="20"/>
            </w:rPr>
            <w:fldChar w:fldCharType="separate"/>
          </w:r>
          <w:hyperlink w:anchor="_Toc233372719" w:history="1">
            <w:r w:rsidR="00CC7DA6" w:rsidRPr="00C954A6">
              <w:rPr>
                <w:rStyle w:val="Hyperlink"/>
                <w:noProof/>
              </w:rPr>
              <w:t>Purpose</w:t>
            </w:r>
            <w:r w:rsidR="00CC7DA6">
              <w:rPr>
                <w:noProof/>
                <w:webHidden/>
              </w:rPr>
              <w:tab/>
            </w:r>
            <w:r w:rsidR="00CC7DA6">
              <w:rPr>
                <w:noProof/>
                <w:webHidden/>
              </w:rPr>
              <w:fldChar w:fldCharType="begin"/>
            </w:r>
            <w:r w:rsidR="00CC7DA6">
              <w:rPr>
                <w:noProof/>
                <w:webHidden/>
              </w:rPr>
              <w:instrText xml:space="preserve"> PAGEREF _Toc233372719 \h </w:instrText>
            </w:r>
            <w:r w:rsidR="00CC7DA6">
              <w:rPr>
                <w:noProof/>
                <w:webHidden/>
              </w:rPr>
            </w:r>
            <w:r w:rsidR="00CC7DA6">
              <w:rPr>
                <w:noProof/>
                <w:webHidden/>
              </w:rPr>
              <w:fldChar w:fldCharType="separate"/>
            </w:r>
            <w:r w:rsidR="00CC7DA6">
              <w:rPr>
                <w:noProof/>
                <w:webHidden/>
              </w:rPr>
              <w:t>2</w:t>
            </w:r>
            <w:r w:rsidR="00CC7DA6">
              <w:rPr>
                <w:noProof/>
                <w:webHidden/>
              </w:rPr>
              <w:fldChar w:fldCharType="end"/>
            </w:r>
          </w:hyperlink>
        </w:p>
        <w:p w14:paraId="0D8C768B" w14:textId="1BE9DAD1" w:rsidR="00CC7DA6" w:rsidRDefault="00CC7DA6">
          <w:pPr>
            <w:pStyle w:val="TOC1"/>
            <w:tabs>
              <w:tab w:val="right" w:leader="dot" w:pos="9016"/>
            </w:tabs>
            <w:rPr>
              <w:rFonts w:eastAsiaTheme="minorEastAsia"/>
              <w:noProof/>
              <w:sz w:val="24"/>
              <w:szCs w:val="24"/>
              <w:lang w:eastAsia="en-AU"/>
            </w:rPr>
          </w:pPr>
          <w:hyperlink w:anchor="_Toc233372720" w:history="1">
            <w:r w:rsidRPr="00C954A6">
              <w:rPr>
                <w:rStyle w:val="Hyperlink"/>
                <w:rFonts w:ascii="Century Gothic" w:hAnsi="Century Gothic"/>
                <w:noProof/>
              </w:rPr>
              <w:t>Overview</w:t>
            </w:r>
            <w:r>
              <w:rPr>
                <w:noProof/>
                <w:webHidden/>
              </w:rPr>
              <w:tab/>
            </w:r>
            <w:r>
              <w:rPr>
                <w:noProof/>
                <w:webHidden/>
              </w:rPr>
              <w:fldChar w:fldCharType="begin"/>
            </w:r>
            <w:r>
              <w:rPr>
                <w:noProof/>
                <w:webHidden/>
              </w:rPr>
              <w:instrText xml:space="preserve"> PAGEREF _Toc233372720 \h </w:instrText>
            </w:r>
            <w:r>
              <w:rPr>
                <w:noProof/>
                <w:webHidden/>
              </w:rPr>
            </w:r>
            <w:r>
              <w:rPr>
                <w:noProof/>
                <w:webHidden/>
              </w:rPr>
              <w:fldChar w:fldCharType="separate"/>
            </w:r>
            <w:r>
              <w:rPr>
                <w:noProof/>
                <w:webHidden/>
              </w:rPr>
              <w:t>2</w:t>
            </w:r>
            <w:r>
              <w:rPr>
                <w:noProof/>
                <w:webHidden/>
              </w:rPr>
              <w:fldChar w:fldCharType="end"/>
            </w:r>
          </w:hyperlink>
        </w:p>
        <w:p w14:paraId="60AC7B1A" w14:textId="3B2F5E88" w:rsidR="00CC7DA6" w:rsidRDefault="00CC7DA6">
          <w:pPr>
            <w:pStyle w:val="TOC2"/>
            <w:tabs>
              <w:tab w:val="right" w:leader="dot" w:pos="9016"/>
            </w:tabs>
            <w:rPr>
              <w:rFonts w:eastAsiaTheme="minorEastAsia"/>
              <w:noProof/>
              <w:sz w:val="24"/>
              <w:szCs w:val="24"/>
              <w:lang w:eastAsia="en-AU"/>
            </w:rPr>
          </w:pPr>
          <w:hyperlink w:anchor="_Toc233372721" w:history="1">
            <w:r w:rsidRPr="00C954A6">
              <w:rPr>
                <w:rStyle w:val="Hyperlink"/>
                <w:noProof/>
              </w:rPr>
              <w:t>Recommendations</w:t>
            </w:r>
            <w:r>
              <w:rPr>
                <w:noProof/>
                <w:webHidden/>
              </w:rPr>
              <w:tab/>
            </w:r>
            <w:r>
              <w:rPr>
                <w:noProof/>
                <w:webHidden/>
              </w:rPr>
              <w:fldChar w:fldCharType="begin"/>
            </w:r>
            <w:r>
              <w:rPr>
                <w:noProof/>
                <w:webHidden/>
              </w:rPr>
              <w:instrText xml:space="preserve"> PAGEREF _Toc233372721 \h </w:instrText>
            </w:r>
            <w:r>
              <w:rPr>
                <w:noProof/>
                <w:webHidden/>
              </w:rPr>
            </w:r>
            <w:r>
              <w:rPr>
                <w:noProof/>
                <w:webHidden/>
              </w:rPr>
              <w:fldChar w:fldCharType="separate"/>
            </w:r>
            <w:r>
              <w:rPr>
                <w:noProof/>
                <w:webHidden/>
              </w:rPr>
              <w:t>3</w:t>
            </w:r>
            <w:r>
              <w:rPr>
                <w:noProof/>
                <w:webHidden/>
              </w:rPr>
              <w:fldChar w:fldCharType="end"/>
            </w:r>
          </w:hyperlink>
        </w:p>
        <w:p w14:paraId="53FB6EA8" w14:textId="759E9548" w:rsidR="00CC7DA6" w:rsidRDefault="00CC7DA6">
          <w:pPr>
            <w:pStyle w:val="TOC1"/>
            <w:tabs>
              <w:tab w:val="right" w:leader="dot" w:pos="9016"/>
            </w:tabs>
            <w:rPr>
              <w:rFonts w:eastAsiaTheme="minorEastAsia"/>
              <w:noProof/>
              <w:sz w:val="24"/>
              <w:szCs w:val="24"/>
              <w:lang w:eastAsia="en-AU"/>
            </w:rPr>
          </w:pPr>
          <w:hyperlink w:anchor="_Toc233372722" w:history="1">
            <w:r w:rsidRPr="00C954A6">
              <w:rPr>
                <w:rStyle w:val="Hyperlink"/>
                <w:rFonts w:ascii="Century Gothic" w:hAnsi="Century Gothic"/>
                <w:noProof/>
              </w:rPr>
              <w:t>About us</w:t>
            </w:r>
            <w:r>
              <w:rPr>
                <w:noProof/>
                <w:webHidden/>
              </w:rPr>
              <w:tab/>
            </w:r>
            <w:r>
              <w:rPr>
                <w:noProof/>
                <w:webHidden/>
              </w:rPr>
              <w:fldChar w:fldCharType="begin"/>
            </w:r>
            <w:r>
              <w:rPr>
                <w:noProof/>
                <w:webHidden/>
              </w:rPr>
              <w:instrText xml:space="preserve"> PAGEREF _Toc233372722 \h </w:instrText>
            </w:r>
            <w:r>
              <w:rPr>
                <w:noProof/>
                <w:webHidden/>
              </w:rPr>
            </w:r>
            <w:r>
              <w:rPr>
                <w:noProof/>
                <w:webHidden/>
              </w:rPr>
              <w:fldChar w:fldCharType="separate"/>
            </w:r>
            <w:r>
              <w:rPr>
                <w:noProof/>
                <w:webHidden/>
              </w:rPr>
              <w:t>3</w:t>
            </w:r>
            <w:r>
              <w:rPr>
                <w:noProof/>
                <w:webHidden/>
              </w:rPr>
              <w:fldChar w:fldCharType="end"/>
            </w:r>
          </w:hyperlink>
        </w:p>
        <w:p w14:paraId="6FD1178B" w14:textId="1372B7D8" w:rsidR="00CC7DA6" w:rsidRDefault="00CC7DA6">
          <w:pPr>
            <w:pStyle w:val="TOC1"/>
            <w:tabs>
              <w:tab w:val="right" w:leader="dot" w:pos="9016"/>
            </w:tabs>
            <w:rPr>
              <w:rFonts w:eastAsiaTheme="minorEastAsia"/>
              <w:noProof/>
              <w:sz w:val="24"/>
              <w:szCs w:val="24"/>
              <w:lang w:eastAsia="en-AU"/>
            </w:rPr>
          </w:pPr>
          <w:hyperlink w:anchor="_Toc233372723" w:history="1">
            <w:r w:rsidRPr="00C954A6">
              <w:rPr>
                <w:rStyle w:val="Hyperlink"/>
                <w:rFonts w:ascii="Century Gothic" w:hAnsi="Century Gothic"/>
                <w:noProof/>
              </w:rPr>
              <w:t>Submission</w:t>
            </w:r>
            <w:r>
              <w:rPr>
                <w:noProof/>
                <w:webHidden/>
              </w:rPr>
              <w:tab/>
            </w:r>
            <w:r>
              <w:rPr>
                <w:noProof/>
                <w:webHidden/>
              </w:rPr>
              <w:fldChar w:fldCharType="begin"/>
            </w:r>
            <w:r>
              <w:rPr>
                <w:noProof/>
                <w:webHidden/>
              </w:rPr>
              <w:instrText xml:space="preserve"> PAGEREF _Toc233372723 \h </w:instrText>
            </w:r>
            <w:r>
              <w:rPr>
                <w:noProof/>
                <w:webHidden/>
              </w:rPr>
            </w:r>
            <w:r>
              <w:rPr>
                <w:noProof/>
                <w:webHidden/>
              </w:rPr>
              <w:fldChar w:fldCharType="separate"/>
            </w:r>
            <w:r>
              <w:rPr>
                <w:noProof/>
                <w:webHidden/>
              </w:rPr>
              <w:t>5</w:t>
            </w:r>
            <w:r>
              <w:rPr>
                <w:noProof/>
                <w:webHidden/>
              </w:rPr>
              <w:fldChar w:fldCharType="end"/>
            </w:r>
          </w:hyperlink>
        </w:p>
        <w:p w14:paraId="43811AA5" w14:textId="2B9EC1F0" w:rsidR="00CC7DA6" w:rsidRDefault="00CC7DA6">
          <w:pPr>
            <w:pStyle w:val="TOC2"/>
            <w:tabs>
              <w:tab w:val="right" w:leader="dot" w:pos="9016"/>
            </w:tabs>
            <w:rPr>
              <w:rFonts w:eastAsiaTheme="minorEastAsia"/>
              <w:noProof/>
              <w:sz w:val="24"/>
              <w:szCs w:val="24"/>
              <w:lang w:eastAsia="en-AU"/>
            </w:rPr>
          </w:pPr>
          <w:hyperlink w:anchor="_Toc233372724" w:history="1">
            <w:r w:rsidRPr="00C954A6">
              <w:rPr>
                <w:rStyle w:val="Hyperlink"/>
                <w:rFonts w:ascii="Century Gothic" w:hAnsi="Century Gothic"/>
                <w:noProof/>
              </w:rPr>
              <w:t>Water reform framework must be adhered to</w:t>
            </w:r>
            <w:r>
              <w:rPr>
                <w:noProof/>
                <w:webHidden/>
              </w:rPr>
              <w:tab/>
            </w:r>
            <w:r>
              <w:rPr>
                <w:noProof/>
                <w:webHidden/>
              </w:rPr>
              <w:fldChar w:fldCharType="begin"/>
            </w:r>
            <w:r>
              <w:rPr>
                <w:noProof/>
                <w:webHidden/>
              </w:rPr>
              <w:instrText xml:space="preserve"> PAGEREF _Toc233372724 \h </w:instrText>
            </w:r>
            <w:r>
              <w:rPr>
                <w:noProof/>
                <w:webHidden/>
              </w:rPr>
            </w:r>
            <w:r>
              <w:rPr>
                <w:noProof/>
                <w:webHidden/>
              </w:rPr>
              <w:fldChar w:fldCharType="separate"/>
            </w:r>
            <w:r>
              <w:rPr>
                <w:noProof/>
                <w:webHidden/>
              </w:rPr>
              <w:t>5</w:t>
            </w:r>
            <w:r>
              <w:rPr>
                <w:noProof/>
                <w:webHidden/>
              </w:rPr>
              <w:fldChar w:fldCharType="end"/>
            </w:r>
          </w:hyperlink>
        </w:p>
        <w:p w14:paraId="4AE7FC30" w14:textId="2DE3F4DD" w:rsidR="00CC7DA6" w:rsidRDefault="00CC7DA6">
          <w:pPr>
            <w:pStyle w:val="TOC3"/>
            <w:tabs>
              <w:tab w:val="right" w:leader="dot" w:pos="9016"/>
            </w:tabs>
            <w:rPr>
              <w:rFonts w:eastAsiaTheme="minorEastAsia"/>
              <w:noProof/>
              <w:sz w:val="24"/>
              <w:szCs w:val="24"/>
              <w:lang w:eastAsia="en-AU"/>
            </w:rPr>
          </w:pPr>
          <w:hyperlink w:anchor="_Toc233372725" w:history="1">
            <w:r w:rsidRPr="00C954A6">
              <w:rPr>
                <w:rStyle w:val="Hyperlink"/>
                <w:noProof/>
              </w:rPr>
              <w:t>National Water Agreement</w:t>
            </w:r>
            <w:r>
              <w:rPr>
                <w:noProof/>
                <w:webHidden/>
              </w:rPr>
              <w:tab/>
            </w:r>
            <w:r>
              <w:rPr>
                <w:noProof/>
                <w:webHidden/>
              </w:rPr>
              <w:fldChar w:fldCharType="begin"/>
            </w:r>
            <w:r>
              <w:rPr>
                <w:noProof/>
                <w:webHidden/>
              </w:rPr>
              <w:instrText xml:space="preserve"> PAGEREF _Toc233372725 \h </w:instrText>
            </w:r>
            <w:r>
              <w:rPr>
                <w:noProof/>
                <w:webHidden/>
              </w:rPr>
            </w:r>
            <w:r>
              <w:rPr>
                <w:noProof/>
                <w:webHidden/>
              </w:rPr>
              <w:fldChar w:fldCharType="separate"/>
            </w:r>
            <w:r>
              <w:rPr>
                <w:noProof/>
                <w:webHidden/>
              </w:rPr>
              <w:t>6</w:t>
            </w:r>
            <w:r>
              <w:rPr>
                <w:noProof/>
                <w:webHidden/>
              </w:rPr>
              <w:fldChar w:fldCharType="end"/>
            </w:r>
          </w:hyperlink>
        </w:p>
        <w:p w14:paraId="40C2ABE2" w14:textId="29F8C8BA" w:rsidR="00CC7DA6" w:rsidRDefault="00CC7DA6">
          <w:pPr>
            <w:pStyle w:val="TOC2"/>
            <w:tabs>
              <w:tab w:val="right" w:leader="dot" w:pos="9016"/>
            </w:tabs>
            <w:rPr>
              <w:rFonts w:eastAsiaTheme="minorEastAsia"/>
              <w:noProof/>
              <w:sz w:val="24"/>
              <w:szCs w:val="24"/>
              <w:lang w:eastAsia="en-AU"/>
            </w:rPr>
          </w:pPr>
          <w:hyperlink w:anchor="_Toc233372726" w:history="1">
            <w:r w:rsidRPr="00C954A6">
              <w:rPr>
                <w:rStyle w:val="Hyperlink"/>
                <w:rFonts w:ascii="Century Gothic" w:hAnsi="Century Gothic"/>
                <w:noProof/>
              </w:rPr>
              <w:t>The role of the Water Act 2007 (Cth) given state powers</w:t>
            </w:r>
            <w:r>
              <w:rPr>
                <w:noProof/>
                <w:webHidden/>
              </w:rPr>
              <w:tab/>
            </w:r>
            <w:r>
              <w:rPr>
                <w:noProof/>
                <w:webHidden/>
              </w:rPr>
              <w:fldChar w:fldCharType="begin"/>
            </w:r>
            <w:r>
              <w:rPr>
                <w:noProof/>
                <w:webHidden/>
              </w:rPr>
              <w:instrText xml:space="preserve"> PAGEREF _Toc233372726 \h </w:instrText>
            </w:r>
            <w:r>
              <w:rPr>
                <w:noProof/>
                <w:webHidden/>
              </w:rPr>
            </w:r>
            <w:r>
              <w:rPr>
                <w:noProof/>
                <w:webHidden/>
              </w:rPr>
              <w:fldChar w:fldCharType="separate"/>
            </w:r>
            <w:r>
              <w:rPr>
                <w:noProof/>
                <w:webHidden/>
              </w:rPr>
              <w:t>6</w:t>
            </w:r>
            <w:r>
              <w:rPr>
                <w:noProof/>
                <w:webHidden/>
              </w:rPr>
              <w:fldChar w:fldCharType="end"/>
            </w:r>
          </w:hyperlink>
        </w:p>
        <w:p w14:paraId="0748CCE7" w14:textId="572226F4" w:rsidR="00CC7DA6" w:rsidRDefault="00CC7DA6">
          <w:pPr>
            <w:pStyle w:val="TOC2"/>
            <w:tabs>
              <w:tab w:val="right" w:leader="dot" w:pos="9016"/>
            </w:tabs>
            <w:rPr>
              <w:rFonts w:eastAsiaTheme="minorEastAsia"/>
              <w:noProof/>
              <w:sz w:val="24"/>
              <w:szCs w:val="24"/>
              <w:lang w:eastAsia="en-AU"/>
            </w:rPr>
          </w:pPr>
          <w:hyperlink w:anchor="_Toc233372727" w:history="1">
            <w:r w:rsidRPr="00C954A6">
              <w:rPr>
                <w:rStyle w:val="Hyperlink"/>
                <w:rFonts w:ascii="Century Gothic" w:hAnsi="Century Gothic"/>
                <w:noProof/>
              </w:rPr>
              <w:t>Current status of indigenous water rights</w:t>
            </w:r>
            <w:r>
              <w:rPr>
                <w:noProof/>
                <w:webHidden/>
              </w:rPr>
              <w:tab/>
            </w:r>
            <w:r>
              <w:rPr>
                <w:noProof/>
                <w:webHidden/>
              </w:rPr>
              <w:fldChar w:fldCharType="begin"/>
            </w:r>
            <w:r>
              <w:rPr>
                <w:noProof/>
                <w:webHidden/>
              </w:rPr>
              <w:instrText xml:space="preserve"> PAGEREF _Toc233372727 \h </w:instrText>
            </w:r>
            <w:r>
              <w:rPr>
                <w:noProof/>
                <w:webHidden/>
              </w:rPr>
            </w:r>
            <w:r>
              <w:rPr>
                <w:noProof/>
                <w:webHidden/>
              </w:rPr>
              <w:fldChar w:fldCharType="separate"/>
            </w:r>
            <w:r>
              <w:rPr>
                <w:noProof/>
                <w:webHidden/>
              </w:rPr>
              <w:t>7</w:t>
            </w:r>
            <w:r>
              <w:rPr>
                <w:noProof/>
                <w:webHidden/>
              </w:rPr>
              <w:fldChar w:fldCharType="end"/>
            </w:r>
          </w:hyperlink>
        </w:p>
        <w:p w14:paraId="0EE97E8E" w14:textId="4B537C5D" w:rsidR="00CC7DA6" w:rsidRDefault="00CC7DA6">
          <w:pPr>
            <w:pStyle w:val="TOC3"/>
            <w:tabs>
              <w:tab w:val="right" w:leader="dot" w:pos="9016"/>
            </w:tabs>
            <w:rPr>
              <w:rFonts w:eastAsiaTheme="minorEastAsia"/>
              <w:noProof/>
              <w:sz w:val="24"/>
              <w:szCs w:val="24"/>
              <w:lang w:eastAsia="en-AU"/>
            </w:rPr>
          </w:pPr>
          <w:hyperlink w:anchor="_Toc233372728" w:history="1">
            <w:r w:rsidRPr="00C954A6">
              <w:rPr>
                <w:rStyle w:val="Hyperlink"/>
                <w:rFonts w:ascii="Century Gothic" w:hAnsi="Century Gothic"/>
                <w:noProof/>
              </w:rPr>
              <w:t>Indigenous water rights and interests at the Commonwealth level</w:t>
            </w:r>
            <w:r>
              <w:rPr>
                <w:noProof/>
                <w:webHidden/>
              </w:rPr>
              <w:tab/>
            </w:r>
            <w:r>
              <w:rPr>
                <w:noProof/>
                <w:webHidden/>
              </w:rPr>
              <w:fldChar w:fldCharType="begin"/>
            </w:r>
            <w:r>
              <w:rPr>
                <w:noProof/>
                <w:webHidden/>
              </w:rPr>
              <w:instrText xml:space="preserve"> PAGEREF _Toc233372728 \h </w:instrText>
            </w:r>
            <w:r>
              <w:rPr>
                <w:noProof/>
                <w:webHidden/>
              </w:rPr>
            </w:r>
            <w:r>
              <w:rPr>
                <w:noProof/>
                <w:webHidden/>
              </w:rPr>
              <w:fldChar w:fldCharType="separate"/>
            </w:r>
            <w:r>
              <w:rPr>
                <w:noProof/>
                <w:webHidden/>
              </w:rPr>
              <w:t>7</w:t>
            </w:r>
            <w:r>
              <w:rPr>
                <w:noProof/>
                <w:webHidden/>
              </w:rPr>
              <w:fldChar w:fldCharType="end"/>
            </w:r>
          </w:hyperlink>
        </w:p>
        <w:p w14:paraId="2EA8CFC0" w14:textId="3AA2B7B8" w:rsidR="00CC7DA6" w:rsidRDefault="00CC7DA6">
          <w:pPr>
            <w:pStyle w:val="TOC3"/>
            <w:tabs>
              <w:tab w:val="right" w:leader="dot" w:pos="9016"/>
            </w:tabs>
            <w:rPr>
              <w:rFonts w:eastAsiaTheme="minorEastAsia"/>
              <w:noProof/>
              <w:sz w:val="24"/>
              <w:szCs w:val="24"/>
              <w:lang w:eastAsia="en-AU"/>
            </w:rPr>
          </w:pPr>
          <w:hyperlink w:anchor="_Toc233372729" w:history="1">
            <w:r w:rsidRPr="00C954A6">
              <w:rPr>
                <w:rStyle w:val="Hyperlink"/>
                <w:rFonts w:ascii="Century Gothic" w:hAnsi="Century Gothic"/>
                <w:noProof/>
              </w:rPr>
              <w:t>Indigenous water rights and interests at the State level</w:t>
            </w:r>
            <w:r>
              <w:rPr>
                <w:noProof/>
                <w:webHidden/>
              </w:rPr>
              <w:tab/>
            </w:r>
            <w:r>
              <w:rPr>
                <w:noProof/>
                <w:webHidden/>
              </w:rPr>
              <w:fldChar w:fldCharType="begin"/>
            </w:r>
            <w:r>
              <w:rPr>
                <w:noProof/>
                <w:webHidden/>
              </w:rPr>
              <w:instrText xml:space="preserve"> PAGEREF _Toc233372729 \h </w:instrText>
            </w:r>
            <w:r>
              <w:rPr>
                <w:noProof/>
                <w:webHidden/>
              </w:rPr>
            </w:r>
            <w:r>
              <w:rPr>
                <w:noProof/>
                <w:webHidden/>
              </w:rPr>
              <w:fldChar w:fldCharType="separate"/>
            </w:r>
            <w:r>
              <w:rPr>
                <w:noProof/>
                <w:webHidden/>
              </w:rPr>
              <w:t>9</w:t>
            </w:r>
            <w:r>
              <w:rPr>
                <w:noProof/>
                <w:webHidden/>
              </w:rPr>
              <w:fldChar w:fldCharType="end"/>
            </w:r>
          </w:hyperlink>
        </w:p>
        <w:p w14:paraId="1D36BB24" w14:textId="29BB78C7" w:rsidR="00CC7DA6" w:rsidRDefault="00CC7DA6">
          <w:pPr>
            <w:pStyle w:val="TOC2"/>
            <w:tabs>
              <w:tab w:val="right" w:leader="dot" w:pos="9016"/>
            </w:tabs>
            <w:rPr>
              <w:rFonts w:eastAsiaTheme="minorEastAsia"/>
              <w:noProof/>
              <w:sz w:val="24"/>
              <w:szCs w:val="24"/>
              <w:lang w:eastAsia="en-AU"/>
            </w:rPr>
          </w:pPr>
          <w:hyperlink w:anchor="_Toc233372730" w:history="1">
            <w:r w:rsidRPr="00C954A6">
              <w:rPr>
                <w:rStyle w:val="Hyperlink"/>
                <w:rFonts w:ascii="Century Gothic" w:hAnsi="Century Gothic"/>
                <w:noProof/>
              </w:rPr>
              <w:t>Need for a solutions-focus</w:t>
            </w:r>
            <w:r>
              <w:rPr>
                <w:noProof/>
                <w:webHidden/>
              </w:rPr>
              <w:tab/>
            </w:r>
            <w:r>
              <w:rPr>
                <w:noProof/>
                <w:webHidden/>
              </w:rPr>
              <w:fldChar w:fldCharType="begin"/>
            </w:r>
            <w:r>
              <w:rPr>
                <w:noProof/>
                <w:webHidden/>
              </w:rPr>
              <w:instrText xml:space="preserve"> PAGEREF _Toc233372730 \h </w:instrText>
            </w:r>
            <w:r>
              <w:rPr>
                <w:noProof/>
                <w:webHidden/>
              </w:rPr>
            </w:r>
            <w:r>
              <w:rPr>
                <w:noProof/>
                <w:webHidden/>
              </w:rPr>
              <w:fldChar w:fldCharType="separate"/>
            </w:r>
            <w:r>
              <w:rPr>
                <w:noProof/>
                <w:webHidden/>
              </w:rPr>
              <w:t>11</w:t>
            </w:r>
            <w:r>
              <w:rPr>
                <w:noProof/>
                <w:webHidden/>
              </w:rPr>
              <w:fldChar w:fldCharType="end"/>
            </w:r>
          </w:hyperlink>
        </w:p>
        <w:p w14:paraId="57B60501" w14:textId="00FDD3E2" w:rsidR="00CC7DA6" w:rsidRDefault="00CC7DA6">
          <w:pPr>
            <w:pStyle w:val="TOC2"/>
            <w:tabs>
              <w:tab w:val="right" w:leader="dot" w:pos="9016"/>
            </w:tabs>
            <w:rPr>
              <w:rFonts w:eastAsiaTheme="minorEastAsia"/>
              <w:noProof/>
              <w:sz w:val="24"/>
              <w:szCs w:val="24"/>
              <w:lang w:eastAsia="en-AU"/>
            </w:rPr>
          </w:pPr>
          <w:hyperlink w:anchor="_Toc233372731" w:history="1">
            <w:r w:rsidRPr="00C954A6">
              <w:rPr>
                <w:rStyle w:val="Hyperlink"/>
                <w:rFonts w:ascii="Century Gothic" w:hAnsi="Century Gothic"/>
                <w:noProof/>
              </w:rPr>
              <w:t>Clarification of key terms is crucial</w:t>
            </w:r>
            <w:r>
              <w:rPr>
                <w:noProof/>
                <w:webHidden/>
              </w:rPr>
              <w:tab/>
            </w:r>
            <w:r>
              <w:rPr>
                <w:noProof/>
                <w:webHidden/>
              </w:rPr>
              <w:fldChar w:fldCharType="begin"/>
            </w:r>
            <w:r>
              <w:rPr>
                <w:noProof/>
                <w:webHidden/>
              </w:rPr>
              <w:instrText xml:space="preserve"> PAGEREF _Toc233372731 \h </w:instrText>
            </w:r>
            <w:r>
              <w:rPr>
                <w:noProof/>
                <w:webHidden/>
              </w:rPr>
            </w:r>
            <w:r>
              <w:rPr>
                <w:noProof/>
                <w:webHidden/>
              </w:rPr>
              <w:fldChar w:fldCharType="separate"/>
            </w:r>
            <w:r>
              <w:rPr>
                <w:noProof/>
                <w:webHidden/>
              </w:rPr>
              <w:t>12</w:t>
            </w:r>
            <w:r>
              <w:rPr>
                <w:noProof/>
                <w:webHidden/>
              </w:rPr>
              <w:fldChar w:fldCharType="end"/>
            </w:r>
          </w:hyperlink>
        </w:p>
        <w:p w14:paraId="7CEAE8A7" w14:textId="7E772DFF" w:rsidR="00CC7DA6" w:rsidRDefault="00CC7DA6">
          <w:pPr>
            <w:pStyle w:val="TOC2"/>
            <w:tabs>
              <w:tab w:val="right" w:leader="dot" w:pos="9016"/>
            </w:tabs>
            <w:rPr>
              <w:rFonts w:eastAsiaTheme="minorEastAsia"/>
              <w:noProof/>
              <w:sz w:val="24"/>
              <w:szCs w:val="24"/>
              <w:lang w:eastAsia="en-AU"/>
            </w:rPr>
          </w:pPr>
          <w:hyperlink w:anchor="_Toc233372732" w:history="1">
            <w:r w:rsidRPr="00C954A6">
              <w:rPr>
                <w:rStyle w:val="Hyperlink"/>
                <w:rFonts w:ascii="Century Gothic" w:hAnsi="Century Gothic"/>
                <w:noProof/>
              </w:rPr>
              <w:t>Issues beyond water management</w:t>
            </w:r>
            <w:r>
              <w:rPr>
                <w:noProof/>
                <w:webHidden/>
              </w:rPr>
              <w:tab/>
            </w:r>
            <w:r>
              <w:rPr>
                <w:noProof/>
                <w:webHidden/>
              </w:rPr>
              <w:fldChar w:fldCharType="begin"/>
            </w:r>
            <w:r>
              <w:rPr>
                <w:noProof/>
                <w:webHidden/>
              </w:rPr>
              <w:instrText xml:space="preserve"> PAGEREF _Toc233372732 \h </w:instrText>
            </w:r>
            <w:r>
              <w:rPr>
                <w:noProof/>
                <w:webHidden/>
              </w:rPr>
            </w:r>
            <w:r>
              <w:rPr>
                <w:noProof/>
                <w:webHidden/>
              </w:rPr>
              <w:fldChar w:fldCharType="separate"/>
            </w:r>
            <w:r>
              <w:rPr>
                <w:noProof/>
                <w:webHidden/>
              </w:rPr>
              <w:t>12</w:t>
            </w:r>
            <w:r>
              <w:rPr>
                <w:noProof/>
                <w:webHidden/>
              </w:rPr>
              <w:fldChar w:fldCharType="end"/>
            </w:r>
          </w:hyperlink>
        </w:p>
        <w:p w14:paraId="5AEC4115" w14:textId="6E68117A" w:rsidR="00CC7DA6" w:rsidRDefault="00CC7DA6">
          <w:pPr>
            <w:pStyle w:val="TOC2"/>
            <w:tabs>
              <w:tab w:val="right" w:leader="dot" w:pos="9016"/>
            </w:tabs>
            <w:rPr>
              <w:rFonts w:eastAsiaTheme="minorEastAsia"/>
              <w:noProof/>
              <w:sz w:val="24"/>
              <w:szCs w:val="24"/>
              <w:lang w:eastAsia="en-AU"/>
            </w:rPr>
          </w:pPr>
          <w:hyperlink w:anchor="_Toc233372733" w:history="1">
            <w:r w:rsidRPr="00C954A6">
              <w:rPr>
                <w:rStyle w:val="Hyperlink"/>
                <w:rFonts w:ascii="Century Gothic" w:hAnsi="Century Gothic"/>
                <w:noProof/>
              </w:rPr>
              <w:t>Recognising the diversity of Indigenous interests</w:t>
            </w:r>
            <w:r>
              <w:rPr>
                <w:noProof/>
                <w:webHidden/>
              </w:rPr>
              <w:tab/>
            </w:r>
            <w:r>
              <w:rPr>
                <w:noProof/>
                <w:webHidden/>
              </w:rPr>
              <w:fldChar w:fldCharType="begin"/>
            </w:r>
            <w:r>
              <w:rPr>
                <w:noProof/>
                <w:webHidden/>
              </w:rPr>
              <w:instrText xml:space="preserve"> PAGEREF _Toc233372733 \h </w:instrText>
            </w:r>
            <w:r>
              <w:rPr>
                <w:noProof/>
                <w:webHidden/>
              </w:rPr>
            </w:r>
            <w:r>
              <w:rPr>
                <w:noProof/>
                <w:webHidden/>
              </w:rPr>
              <w:fldChar w:fldCharType="separate"/>
            </w:r>
            <w:r>
              <w:rPr>
                <w:noProof/>
                <w:webHidden/>
              </w:rPr>
              <w:t>13</w:t>
            </w:r>
            <w:r>
              <w:rPr>
                <w:noProof/>
                <w:webHidden/>
              </w:rPr>
              <w:fldChar w:fldCharType="end"/>
            </w:r>
          </w:hyperlink>
        </w:p>
        <w:p w14:paraId="3489AA8E" w14:textId="4AC16643" w:rsidR="00CC7DA6" w:rsidRDefault="00CC7DA6">
          <w:pPr>
            <w:pStyle w:val="TOC2"/>
            <w:tabs>
              <w:tab w:val="right" w:leader="dot" w:pos="9016"/>
            </w:tabs>
            <w:rPr>
              <w:rFonts w:eastAsiaTheme="minorEastAsia"/>
              <w:noProof/>
              <w:sz w:val="24"/>
              <w:szCs w:val="24"/>
              <w:lang w:eastAsia="en-AU"/>
            </w:rPr>
          </w:pPr>
          <w:hyperlink w:anchor="_Toc233372734" w:history="1">
            <w:r w:rsidRPr="00C954A6">
              <w:rPr>
                <w:rStyle w:val="Hyperlink"/>
                <w:rFonts w:ascii="Century Gothic" w:hAnsi="Century Gothic"/>
                <w:noProof/>
              </w:rPr>
              <w:t>Exploring Synergies</w:t>
            </w:r>
            <w:r>
              <w:rPr>
                <w:noProof/>
                <w:webHidden/>
              </w:rPr>
              <w:tab/>
            </w:r>
            <w:r>
              <w:rPr>
                <w:noProof/>
                <w:webHidden/>
              </w:rPr>
              <w:fldChar w:fldCharType="begin"/>
            </w:r>
            <w:r>
              <w:rPr>
                <w:noProof/>
                <w:webHidden/>
              </w:rPr>
              <w:instrText xml:space="preserve"> PAGEREF _Toc233372734 \h </w:instrText>
            </w:r>
            <w:r>
              <w:rPr>
                <w:noProof/>
                <w:webHidden/>
              </w:rPr>
            </w:r>
            <w:r>
              <w:rPr>
                <w:noProof/>
                <w:webHidden/>
              </w:rPr>
              <w:fldChar w:fldCharType="separate"/>
            </w:r>
            <w:r>
              <w:rPr>
                <w:noProof/>
                <w:webHidden/>
              </w:rPr>
              <w:t>14</w:t>
            </w:r>
            <w:r>
              <w:rPr>
                <w:noProof/>
                <w:webHidden/>
              </w:rPr>
              <w:fldChar w:fldCharType="end"/>
            </w:r>
          </w:hyperlink>
        </w:p>
        <w:p w14:paraId="2060E0F4" w14:textId="6A7256C1" w:rsidR="00CC7DA6" w:rsidRDefault="00CC7DA6">
          <w:pPr>
            <w:pStyle w:val="TOC3"/>
            <w:tabs>
              <w:tab w:val="right" w:leader="dot" w:pos="9016"/>
            </w:tabs>
            <w:rPr>
              <w:rFonts w:eastAsiaTheme="minorEastAsia"/>
              <w:noProof/>
              <w:sz w:val="24"/>
              <w:szCs w:val="24"/>
              <w:lang w:eastAsia="en-AU"/>
            </w:rPr>
          </w:pPr>
          <w:hyperlink w:anchor="_Toc233372735" w:history="1">
            <w:r w:rsidRPr="00C954A6">
              <w:rPr>
                <w:rStyle w:val="Hyperlink"/>
                <w:noProof/>
              </w:rPr>
              <w:t>Cultural and environmental</w:t>
            </w:r>
            <w:r>
              <w:rPr>
                <w:noProof/>
                <w:webHidden/>
              </w:rPr>
              <w:tab/>
            </w:r>
            <w:r>
              <w:rPr>
                <w:noProof/>
                <w:webHidden/>
              </w:rPr>
              <w:fldChar w:fldCharType="begin"/>
            </w:r>
            <w:r>
              <w:rPr>
                <w:noProof/>
                <w:webHidden/>
              </w:rPr>
              <w:instrText xml:space="preserve"> PAGEREF _Toc233372735 \h </w:instrText>
            </w:r>
            <w:r>
              <w:rPr>
                <w:noProof/>
                <w:webHidden/>
              </w:rPr>
            </w:r>
            <w:r>
              <w:rPr>
                <w:noProof/>
                <w:webHidden/>
              </w:rPr>
              <w:fldChar w:fldCharType="separate"/>
            </w:r>
            <w:r>
              <w:rPr>
                <w:noProof/>
                <w:webHidden/>
              </w:rPr>
              <w:t>14</w:t>
            </w:r>
            <w:r>
              <w:rPr>
                <w:noProof/>
                <w:webHidden/>
              </w:rPr>
              <w:fldChar w:fldCharType="end"/>
            </w:r>
          </w:hyperlink>
        </w:p>
        <w:p w14:paraId="3FA2C28A" w14:textId="572C934A" w:rsidR="00CC7DA6" w:rsidRDefault="00CC7DA6">
          <w:pPr>
            <w:pStyle w:val="TOC3"/>
            <w:tabs>
              <w:tab w:val="right" w:leader="dot" w:pos="9016"/>
            </w:tabs>
            <w:rPr>
              <w:rFonts w:eastAsiaTheme="minorEastAsia"/>
              <w:noProof/>
              <w:sz w:val="24"/>
              <w:szCs w:val="24"/>
              <w:lang w:eastAsia="en-AU"/>
            </w:rPr>
          </w:pPr>
          <w:hyperlink w:anchor="_Toc233372736" w:history="1">
            <w:r w:rsidRPr="00C954A6">
              <w:rPr>
                <w:rStyle w:val="Hyperlink"/>
                <w:noProof/>
              </w:rPr>
              <w:t>Cultural and socio-economic</w:t>
            </w:r>
            <w:r>
              <w:rPr>
                <w:noProof/>
                <w:webHidden/>
              </w:rPr>
              <w:tab/>
            </w:r>
            <w:r>
              <w:rPr>
                <w:noProof/>
                <w:webHidden/>
              </w:rPr>
              <w:fldChar w:fldCharType="begin"/>
            </w:r>
            <w:r>
              <w:rPr>
                <w:noProof/>
                <w:webHidden/>
              </w:rPr>
              <w:instrText xml:space="preserve"> PAGEREF _Toc233372736 \h </w:instrText>
            </w:r>
            <w:r>
              <w:rPr>
                <w:noProof/>
                <w:webHidden/>
              </w:rPr>
            </w:r>
            <w:r>
              <w:rPr>
                <w:noProof/>
                <w:webHidden/>
              </w:rPr>
              <w:fldChar w:fldCharType="separate"/>
            </w:r>
            <w:r>
              <w:rPr>
                <w:noProof/>
                <w:webHidden/>
              </w:rPr>
              <w:t>14</w:t>
            </w:r>
            <w:r>
              <w:rPr>
                <w:noProof/>
                <w:webHidden/>
              </w:rPr>
              <w:fldChar w:fldCharType="end"/>
            </w:r>
          </w:hyperlink>
        </w:p>
        <w:p w14:paraId="620DF010" w14:textId="0A570AFC" w:rsidR="00CC7DA6" w:rsidRDefault="00CC7DA6">
          <w:pPr>
            <w:pStyle w:val="TOC2"/>
            <w:tabs>
              <w:tab w:val="right" w:leader="dot" w:pos="9016"/>
            </w:tabs>
            <w:rPr>
              <w:rFonts w:eastAsiaTheme="minorEastAsia"/>
              <w:noProof/>
              <w:sz w:val="24"/>
              <w:szCs w:val="24"/>
              <w:lang w:eastAsia="en-AU"/>
            </w:rPr>
          </w:pPr>
          <w:hyperlink w:anchor="_Toc233372737" w:history="1">
            <w:r w:rsidRPr="00C954A6">
              <w:rPr>
                <w:rStyle w:val="Hyperlink"/>
                <w:rFonts w:ascii="Century Gothic" w:hAnsi="Century Gothic"/>
                <w:noProof/>
              </w:rPr>
              <w:t>Building on successes</w:t>
            </w:r>
            <w:r>
              <w:rPr>
                <w:noProof/>
                <w:webHidden/>
              </w:rPr>
              <w:tab/>
            </w:r>
            <w:r>
              <w:rPr>
                <w:noProof/>
                <w:webHidden/>
              </w:rPr>
              <w:fldChar w:fldCharType="begin"/>
            </w:r>
            <w:r>
              <w:rPr>
                <w:noProof/>
                <w:webHidden/>
              </w:rPr>
              <w:instrText xml:space="preserve"> PAGEREF _Toc233372737 \h </w:instrText>
            </w:r>
            <w:r>
              <w:rPr>
                <w:noProof/>
                <w:webHidden/>
              </w:rPr>
            </w:r>
            <w:r>
              <w:rPr>
                <w:noProof/>
                <w:webHidden/>
              </w:rPr>
              <w:fldChar w:fldCharType="separate"/>
            </w:r>
            <w:r>
              <w:rPr>
                <w:noProof/>
                <w:webHidden/>
              </w:rPr>
              <w:t>15</w:t>
            </w:r>
            <w:r>
              <w:rPr>
                <w:noProof/>
                <w:webHidden/>
              </w:rPr>
              <w:fldChar w:fldCharType="end"/>
            </w:r>
          </w:hyperlink>
        </w:p>
        <w:p w14:paraId="4BBF7E0A" w14:textId="4EBAA463" w:rsidR="00CC7DA6" w:rsidRDefault="00CC7DA6">
          <w:pPr>
            <w:pStyle w:val="TOC2"/>
            <w:tabs>
              <w:tab w:val="right" w:leader="dot" w:pos="9016"/>
            </w:tabs>
            <w:rPr>
              <w:rFonts w:eastAsiaTheme="minorEastAsia"/>
              <w:noProof/>
              <w:sz w:val="24"/>
              <w:szCs w:val="24"/>
              <w:lang w:eastAsia="en-AU"/>
            </w:rPr>
          </w:pPr>
          <w:hyperlink w:anchor="_Toc233372738" w:history="1">
            <w:r w:rsidRPr="00C954A6">
              <w:rPr>
                <w:rStyle w:val="Hyperlink"/>
                <w:rFonts w:ascii="Century Gothic" w:hAnsi="Century Gothic"/>
                <w:noProof/>
              </w:rPr>
              <w:t>Entitlements</w:t>
            </w:r>
            <w:r>
              <w:rPr>
                <w:noProof/>
                <w:webHidden/>
              </w:rPr>
              <w:tab/>
            </w:r>
            <w:r>
              <w:rPr>
                <w:noProof/>
                <w:webHidden/>
              </w:rPr>
              <w:fldChar w:fldCharType="begin"/>
            </w:r>
            <w:r>
              <w:rPr>
                <w:noProof/>
                <w:webHidden/>
              </w:rPr>
              <w:instrText xml:space="preserve"> PAGEREF _Toc233372738 \h </w:instrText>
            </w:r>
            <w:r>
              <w:rPr>
                <w:noProof/>
                <w:webHidden/>
              </w:rPr>
            </w:r>
            <w:r>
              <w:rPr>
                <w:noProof/>
                <w:webHidden/>
              </w:rPr>
              <w:fldChar w:fldCharType="separate"/>
            </w:r>
            <w:r>
              <w:rPr>
                <w:noProof/>
                <w:webHidden/>
              </w:rPr>
              <w:t>16</w:t>
            </w:r>
            <w:r>
              <w:rPr>
                <w:noProof/>
                <w:webHidden/>
              </w:rPr>
              <w:fldChar w:fldCharType="end"/>
            </w:r>
          </w:hyperlink>
        </w:p>
        <w:p w14:paraId="0C531283" w14:textId="0AEC63D1" w:rsidR="00CC7DA6" w:rsidRDefault="00CC7DA6">
          <w:pPr>
            <w:pStyle w:val="TOC3"/>
            <w:tabs>
              <w:tab w:val="right" w:leader="dot" w:pos="9016"/>
            </w:tabs>
            <w:rPr>
              <w:rFonts w:eastAsiaTheme="minorEastAsia"/>
              <w:noProof/>
              <w:sz w:val="24"/>
              <w:szCs w:val="24"/>
              <w:lang w:eastAsia="en-AU"/>
            </w:rPr>
          </w:pPr>
          <w:hyperlink w:anchor="_Toc233372739" w:history="1">
            <w:r w:rsidRPr="00C954A6">
              <w:rPr>
                <w:rStyle w:val="Hyperlink"/>
                <w:noProof/>
              </w:rPr>
              <w:t>Clarifying the baseline</w:t>
            </w:r>
            <w:r>
              <w:rPr>
                <w:noProof/>
                <w:webHidden/>
              </w:rPr>
              <w:tab/>
            </w:r>
            <w:r>
              <w:rPr>
                <w:noProof/>
                <w:webHidden/>
              </w:rPr>
              <w:fldChar w:fldCharType="begin"/>
            </w:r>
            <w:r>
              <w:rPr>
                <w:noProof/>
                <w:webHidden/>
              </w:rPr>
              <w:instrText xml:space="preserve"> PAGEREF _Toc233372739 \h </w:instrText>
            </w:r>
            <w:r>
              <w:rPr>
                <w:noProof/>
                <w:webHidden/>
              </w:rPr>
            </w:r>
            <w:r>
              <w:rPr>
                <w:noProof/>
                <w:webHidden/>
              </w:rPr>
              <w:fldChar w:fldCharType="separate"/>
            </w:r>
            <w:r>
              <w:rPr>
                <w:noProof/>
                <w:webHidden/>
              </w:rPr>
              <w:t>16</w:t>
            </w:r>
            <w:r>
              <w:rPr>
                <w:noProof/>
                <w:webHidden/>
              </w:rPr>
              <w:fldChar w:fldCharType="end"/>
            </w:r>
          </w:hyperlink>
        </w:p>
        <w:p w14:paraId="69F9ED00" w14:textId="7A7CF695" w:rsidR="00CC7DA6" w:rsidRDefault="00CC7DA6">
          <w:pPr>
            <w:pStyle w:val="TOC3"/>
            <w:tabs>
              <w:tab w:val="right" w:leader="dot" w:pos="9016"/>
            </w:tabs>
            <w:rPr>
              <w:rFonts w:eastAsiaTheme="minorEastAsia"/>
              <w:noProof/>
              <w:sz w:val="24"/>
              <w:szCs w:val="24"/>
              <w:lang w:eastAsia="en-AU"/>
            </w:rPr>
          </w:pPr>
          <w:hyperlink w:anchor="_Toc233372740" w:history="1">
            <w:r w:rsidRPr="00C954A6">
              <w:rPr>
                <w:rStyle w:val="Hyperlink"/>
                <w:noProof/>
              </w:rPr>
              <w:t>Aboriginal Water Entitlements Program</w:t>
            </w:r>
            <w:r>
              <w:rPr>
                <w:noProof/>
                <w:webHidden/>
              </w:rPr>
              <w:tab/>
            </w:r>
            <w:r>
              <w:rPr>
                <w:noProof/>
                <w:webHidden/>
              </w:rPr>
              <w:fldChar w:fldCharType="begin"/>
            </w:r>
            <w:r>
              <w:rPr>
                <w:noProof/>
                <w:webHidden/>
              </w:rPr>
              <w:instrText xml:space="preserve"> PAGEREF _Toc233372740 \h </w:instrText>
            </w:r>
            <w:r>
              <w:rPr>
                <w:noProof/>
                <w:webHidden/>
              </w:rPr>
            </w:r>
            <w:r>
              <w:rPr>
                <w:noProof/>
                <w:webHidden/>
              </w:rPr>
              <w:fldChar w:fldCharType="separate"/>
            </w:r>
            <w:r>
              <w:rPr>
                <w:noProof/>
                <w:webHidden/>
              </w:rPr>
              <w:t>17</w:t>
            </w:r>
            <w:r>
              <w:rPr>
                <w:noProof/>
                <w:webHidden/>
              </w:rPr>
              <w:fldChar w:fldCharType="end"/>
            </w:r>
          </w:hyperlink>
        </w:p>
        <w:p w14:paraId="340608CB" w14:textId="2ED724F8" w:rsidR="00CC7DA6" w:rsidRDefault="00CC7DA6">
          <w:pPr>
            <w:pStyle w:val="TOC2"/>
            <w:tabs>
              <w:tab w:val="right" w:leader="dot" w:pos="9016"/>
            </w:tabs>
            <w:rPr>
              <w:rFonts w:eastAsiaTheme="minorEastAsia"/>
              <w:noProof/>
              <w:sz w:val="24"/>
              <w:szCs w:val="24"/>
              <w:lang w:eastAsia="en-AU"/>
            </w:rPr>
          </w:pPr>
          <w:hyperlink w:anchor="_Toc233372741" w:history="1">
            <w:r w:rsidRPr="00C954A6">
              <w:rPr>
                <w:rStyle w:val="Hyperlink"/>
                <w:rFonts w:ascii="Century Gothic" w:hAnsi="Century Gothic"/>
                <w:noProof/>
              </w:rPr>
              <w:t>Decision-making</w:t>
            </w:r>
            <w:r>
              <w:rPr>
                <w:noProof/>
                <w:webHidden/>
              </w:rPr>
              <w:tab/>
            </w:r>
            <w:r>
              <w:rPr>
                <w:noProof/>
                <w:webHidden/>
              </w:rPr>
              <w:fldChar w:fldCharType="begin"/>
            </w:r>
            <w:r>
              <w:rPr>
                <w:noProof/>
                <w:webHidden/>
              </w:rPr>
              <w:instrText xml:space="preserve"> PAGEREF _Toc233372741 \h </w:instrText>
            </w:r>
            <w:r>
              <w:rPr>
                <w:noProof/>
                <w:webHidden/>
              </w:rPr>
            </w:r>
            <w:r>
              <w:rPr>
                <w:noProof/>
                <w:webHidden/>
              </w:rPr>
              <w:fldChar w:fldCharType="separate"/>
            </w:r>
            <w:r>
              <w:rPr>
                <w:noProof/>
                <w:webHidden/>
              </w:rPr>
              <w:t>20</w:t>
            </w:r>
            <w:r>
              <w:rPr>
                <w:noProof/>
                <w:webHidden/>
              </w:rPr>
              <w:fldChar w:fldCharType="end"/>
            </w:r>
          </w:hyperlink>
        </w:p>
        <w:p w14:paraId="668C2DE2" w14:textId="606427F8" w:rsidR="00CC7DA6" w:rsidRDefault="00CC7DA6">
          <w:pPr>
            <w:pStyle w:val="TOC1"/>
            <w:tabs>
              <w:tab w:val="right" w:leader="dot" w:pos="9016"/>
            </w:tabs>
            <w:rPr>
              <w:rFonts w:eastAsiaTheme="minorEastAsia"/>
              <w:noProof/>
              <w:sz w:val="24"/>
              <w:szCs w:val="24"/>
              <w:lang w:eastAsia="en-AU"/>
            </w:rPr>
          </w:pPr>
          <w:hyperlink w:anchor="_Toc233372742" w:history="1">
            <w:r w:rsidRPr="00C954A6">
              <w:rPr>
                <w:rStyle w:val="Hyperlink"/>
                <w:rFonts w:ascii="Century Gothic" w:hAnsi="Century Gothic"/>
                <w:noProof/>
              </w:rPr>
              <w:t>Conclusion</w:t>
            </w:r>
            <w:r>
              <w:rPr>
                <w:noProof/>
                <w:webHidden/>
              </w:rPr>
              <w:tab/>
            </w:r>
            <w:r>
              <w:rPr>
                <w:noProof/>
                <w:webHidden/>
              </w:rPr>
              <w:fldChar w:fldCharType="begin"/>
            </w:r>
            <w:r>
              <w:rPr>
                <w:noProof/>
                <w:webHidden/>
              </w:rPr>
              <w:instrText xml:space="preserve"> PAGEREF _Toc233372742 \h </w:instrText>
            </w:r>
            <w:r>
              <w:rPr>
                <w:noProof/>
                <w:webHidden/>
              </w:rPr>
            </w:r>
            <w:r>
              <w:rPr>
                <w:noProof/>
                <w:webHidden/>
              </w:rPr>
              <w:fldChar w:fldCharType="separate"/>
            </w:r>
            <w:r>
              <w:rPr>
                <w:noProof/>
                <w:webHidden/>
              </w:rPr>
              <w:t>20</w:t>
            </w:r>
            <w:r>
              <w:rPr>
                <w:noProof/>
                <w:webHidden/>
              </w:rPr>
              <w:fldChar w:fldCharType="end"/>
            </w:r>
          </w:hyperlink>
        </w:p>
        <w:p w14:paraId="2AC924A6" w14:textId="25320AD9" w:rsidR="00CC7DA6" w:rsidRDefault="00CC7DA6">
          <w:pPr>
            <w:pStyle w:val="TOC1"/>
            <w:tabs>
              <w:tab w:val="right" w:leader="dot" w:pos="9016"/>
            </w:tabs>
            <w:rPr>
              <w:rFonts w:eastAsiaTheme="minorEastAsia"/>
              <w:noProof/>
              <w:sz w:val="24"/>
              <w:szCs w:val="24"/>
              <w:lang w:eastAsia="en-AU"/>
            </w:rPr>
          </w:pPr>
          <w:hyperlink w:anchor="_Toc233372743" w:history="1">
            <w:r w:rsidRPr="00C954A6">
              <w:rPr>
                <w:rStyle w:val="Hyperlink"/>
                <w:rFonts w:ascii="Century Gothic" w:hAnsi="Century Gothic"/>
                <w:noProof/>
                <w:lang w:val="en-US"/>
              </w:rPr>
              <w:t>Contact</w:t>
            </w:r>
            <w:r>
              <w:rPr>
                <w:noProof/>
                <w:webHidden/>
              </w:rPr>
              <w:tab/>
            </w:r>
            <w:r>
              <w:rPr>
                <w:noProof/>
                <w:webHidden/>
              </w:rPr>
              <w:fldChar w:fldCharType="begin"/>
            </w:r>
            <w:r>
              <w:rPr>
                <w:noProof/>
                <w:webHidden/>
              </w:rPr>
              <w:instrText xml:space="preserve"> PAGEREF _Toc233372743 \h </w:instrText>
            </w:r>
            <w:r>
              <w:rPr>
                <w:noProof/>
                <w:webHidden/>
              </w:rPr>
            </w:r>
            <w:r>
              <w:rPr>
                <w:noProof/>
                <w:webHidden/>
              </w:rPr>
              <w:fldChar w:fldCharType="separate"/>
            </w:r>
            <w:r>
              <w:rPr>
                <w:noProof/>
                <w:webHidden/>
              </w:rPr>
              <w:t>21</w:t>
            </w:r>
            <w:r>
              <w:rPr>
                <w:noProof/>
                <w:webHidden/>
              </w:rPr>
              <w:fldChar w:fldCharType="end"/>
            </w:r>
          </w:hyperlink>
        </w:p>
        <w:p w14:paraId="42B0C577" w14:textId="018FBD37" w:rsidR="001D4FDE" w:rsidRDefault="00E3702A" w:rsidP="00E44E25">
          <w:pPr>
            <w:jc w:val="both"/>
            <w:rPr>
              <w:rFonts w:ascii="Century Gothic" w:hAnsi="Century Gothic"/>
              <w:b/>
              <w:bCs/>
              <w:noProof/>
              <w:sz w:val="20"/>
              <w:szCs w:val="20"/>
            </w:rPr>
          </w:pPr>
          <w:r w:rsidRPr="00751099">
            <w:rPr>
              <w:rFonts w:ascii="Century Gothic" w:hAnsi="Century Gothic"/>
              <w:b/>
              <w:bCs/>
              <w:noProof/>
              <w:sz w:val="20"/>
              <w:szCs w:val="20"/>
            </w:rPr>
            <w:fldChar w:fldCharType="end"/>
          </w:r>
        </w:p>
      </w:sdtContent>
    </w:sdt>
    <w:p w14:paraId="2DFDA605" w14:textId="0D139110" w:rsidR="00001BE2" w:rsidRPr="00751099" w:rsidRDefault="00001BE2" w:rsidP="00E44E25">
      <w:pPr>
        <w:jc w:val="both"/>
        <w:rPr>
          <w:rFonts w:ascii="Century Gothic" w:hAnsi="Century Gothic"/>
          <w:sz w:val="20"/>
          <w:szCs w:val="20"/>
        </w:rPr>
      </w:pPr>
      <w:r w:rsidRPr="00751099">
        <w:rPr>
          <w:rFonts w:ascii="Century Gothic" w:hAnsi="Century Gothic"/>
          <w:sz w:val="20"/>
          <w:szCs w:val="20"/>
        </w:rPr>
        <w:br w:type="page"/>
      </w:r>
    </w:p>
    <w:p w14:paraId="4C7C68D4" w14:textId="2B76877C" w:rsidR="001664FC" w:rsidRPr="001D4FDE" w:rsidRDefault="00EF4D47" w:rsidP="001D4FDE">
      <w:pPr>
        <w:pStyle w:val="Heading1"/>
        <w:rPr>
          <w:rFonts w:ascii="Century Gothic" w:hAnsi="Century Gothic"/>
          <w:sz w:val="36"/>
          <w:szCs w:val="36"/>
        </w:rPr>
      </w:pPr>
      <w:bookmarkStart w:id="4" w:name="_Toc233372723"/>
      <w:r w:rsidRPr="00751099">
        <w:rPr>
          <w:rFonts w:ascii="Century Gothic" w:hAnsi="Century Gothic"/>
          <w:sz w:val="36"/>
          <w:szCs w:val="36"/>
        </w:rPr>
        <w:lastRenderedPageBreak/>
        <w:t>Submission</w:t>
      </w:r>
      <w:bookmarkEnd w:id="4"/>
    </w:p>
    <w:p w14:paraId="73021102" w14:textId="315363D4" w:rsidR="00F30A70" w:rsidRDefault="00DB3577" w:rsidP="004E6330">
      <w:r>
        <w:rPr>
          <w:rFonts w:ascii="Century Gothic" w:hAnsi="Century Gothic"/>
          <w:sz w:val="28"/>
          <w:szCs w:val="28"/>
        </w:rPr>
        <w:t xml:space="preserve">Collaboration not separation </w:t>
      </w:r>
      <w:r w:rsidR="002115AF">
        <w:t xml:space="preserve"> </w:t>
      </w:r>
    </w:p>
    <w:p w14:paraId="6015D387" w14:textId="1381BB7B" w:rsidR="004E6330" w:rsidRPr="00751099" w:rsidRDefault="00341546" w:rsidP="004E6330">
      <w:pPr>
        <w:rPr>
          <w:rFonts w:ascii="Century Gothic" w:hAnsi="Century Gothic"/>
          <w:sz w:val="20"/>
          <w:szCs w:val="20"/>
        </w:rPr>
      </w:pPr>
      <w:r>
        <w:rPr>
          <w:rFonts w:ascii="Century Gothic" w:hAnsi="Century Gothic"/>
          <w:sz w:val="20"/>
          <w:szCs w:val="20"/>
        </w:rPr>
        <w:t>NIC</w:t>
      </w:r>
      <w:r w:rsidR="00E32A42" w:rsidRPr="00751099">
        <w:rPr>
          <w:rFonts w:ascii="Century Gothic" w:hAnsi="Century Gothic"/>
          <w:sz w:val="20"/>
          <w:szCs w:val="20"/>
        </w:rPr>
        <w:t xml:space="preserve"> </w:t>
      </w:r>
      <w:r w:rsidR="00A67F61" w:rsidRPr="00751099">
        <w:rPr>
          <w:rFonts w:ascii="Century Gothic" w:hAnsi="Century Gothic"/>
          <w:sz w:val="20"/>
          <w:szCs w:val="20"/>
        </w:rPr>
        <w:t>acknowledge the traditional owners of country; their deep connection with land and water, and the strong spiritual obligation of Aboriginal people to care for country.</w:t>
      </w:r>
    </w:p>
    <w:p w14:paraId="387AE46D" w14:textId="7719945E" w:rsidR="00D43CEA" w:rsidRPr="00751099" w:rsidRDefault="00D43CEA" w:rsidP="004E6330">
      <w:pPr>
        <w:rPr>
          <w:rFonts w:ascii="Century Gothic" w:hAnsi="Century Gothic"/>
          <w:sz w:val="20"/>
          <w:szCs w:val="20"/>
        </w:rPr>
      </w:pPr>
      <w:r w:rsidRPr="00751099">
        <w:rPr>
          <w:rFonts w:ascii="Century Gothic" w:hAnsi="Century Gothic"/>
          <w:sz w:val="20"/>
          <w:szCs w:val="20"/>
        </w:rPr>
        <w:t>NIC supports, recognises and values Cultural objectives in water planning and management.</w:t>
      </w:r>
    </w:p>
    <w:p w14:paraId="4642120C" w14:textId="13207731" w:rsidR="000F3CE4" w:rsidRPr="00751099" w:rsidRDefault="000F3CE4" w:rsidP="004E6330">
      <w:pPr>
        <w:rPr>
          <w:rFonts w:ascii="Century Gothic" w:hAnsi="Century Gothic"/>
          <w:sz w:val="20"/>
          <w:szCs w:val="20"/>
        </w:rPr>
      </w:pPr>
      <w:r w:rsidRPr="00751099">
        <w:rPr>
          <w:rFonts w:ascii="Century Gothic" w:hAnsi="Century Gothic"/>
          <w:sz w:val="20"/>
          <w:szCs w:val="20"/>
        </w:rPr>
        <w:t>NIC supports the use, access and management of water for Cultural objectives, within the current water management framework and market systems.</w:t>
      </w:r>
    </w:p>
    <w:p w14:paraId="30FADC39" w14:textId="0EC5B5F3" w:rsidR="000F3CE4" w:rsidRPr="00751099" w:rsidRDefault="000F3CE4" w:rsidP="004E6330">
      <w:pPr>
        <w:rPr>
          <w:rFonts w:ascii="Century Gothic" w:hAnsi="Century Gothic"/>
          <w:sz w:val="20"/>
          <w:szCs w:val="20"/>
        </w:rPr>
      </w:pPr>
      <w:r w:rsidRPr="00751099">
        <w:rPr>
          <w:rFonts w:ascii="Century Gothic" w:hAnsi="Century Gothic"/>
          <w:sz w:val="20"/>
          <w:szCs w:val="20"/>
        </w:rPr>
        <w:t xml:space="preserve">By working together, we believe better outcomes are possible. </w:t>
      </w:r>
      <w:r w:rsidR="00250AC4" w:rsidRPr="00751099">
        <w:rPr>
          <w:rFonts w:ascii="Century Gothic" w:hAnsi="Century Gothic"/>
          <w:sz w:val="20"/>
          <w:szCs w:val="20"/>
        </w:rPr>
        <w:t>We believe there are ways forward that can realise real, practical, and meaningful outcomes for First Nations peoples in our communities – without creating tensions or divisions</w:t>
      </w:r>
      <w:r w:rsidR="00B3617D" w:rsidRPr="00751099">
        <w:rPr>
          <w:rFonts w:ascii="Century Gothic" w:hAnsi="Century Gothic"/>
          <w:sz w:val="20"/>
          <w:szCs w:val="20"/>
        </w:rPr>
        <w:t xml:space="preserve">. </w:t>
      </w:r>
      <w:r w:rsidR="00C70053" w:rsidRPr="00751099">
        <w:rPr>
          <w:rFonts w:ascii="Century Gothic" w:hAnsi="Century Gothic"/>
          <w:sz w:val="20"/>
          <w:szCs w:val="20"/>
        </w:rPr>
        <w:t xml:space="preserve">We are proud of the positive relationships our sector has with </w:t>
      </w:r>
      <w:r w:rsidR="002B37DD" w:rsidRPr="00751099">
        <w:rPr>
          <w:rFonts w:ascii="Century Gothic" w:hAnsi="Century Gothic"/>
          <w:sz w:val="20"/>
          <w:szCs w:val="20"/>
        </w:rPr>
        <w:t xml:space="preserve">First Nations. </w:t>
      </w:r>
    </w:p>
    <w:p w14:paraId="2671C91F" w14:textId="03D4E492" w:rsidR="006E43F0" w:rsidRDefault="00B3617D" w:rsidP="004E6330">
      <w:pPr>
        <w:rPr>
          <w:rFonts w:ascii="Century Gothic" w:hAnsi="Century Gothic"/>
          <w:sz w:val="20"/>
          <w:szCs w:val="20"/>
        </w:rPr>
      </w:pPr>
      <w:r w:rsidRPr="00751099">
        <w:rPr>
          <w:rFonts w:ascii="Century Gothic" w:hAnsi="Century Gothic"/>
          <w:sz w:val="20"/>
          <w:szCs w:val="20"/>
        </w:rPr>
        <w:t>NIC seeks to engage in this process in a constructive, respectful and informed manner. We offer our knowledge</w:t>
      </w:r>
      <w:r w:rsidR="004444BC" w:rsidRPr="00751099">
        <w:rPr>
          <w:rFonts w:ascii="Century Gothic" w:hAnsi="Century Gothic"/>
          <w:sz w:val="20"/>
          <w:szCs w:val="20"/>
        </w:rPr>
        <w:t xml:space="preserve"> and expertise</w:t>
      </w:r>
      <w:r w:rsidRPr="00751099">
        <w:rPr>
          <w:rFonts w:ascii="Century Gothic" w:hAnsi="Century Gothic"/>
          <w:sz w:val="20"/>
          <w:szCs w:val="20"/>
        </w:rPr>
        <w:t xml:space="preserve"> of the water management and planning frameworks</w:t>
      </w:r>
      <w:r w:rsidR="002B37DD" w:rsidRPr="00751099">
        <w:rPr>
          <w:rFonts w:ascii="Century Gothic" w:hAnsi="Century Gothic"/>
          <w:sz w:val="20"/>
          <w:szCs w:val="20"/>
        </w:rPr>
        <w:t xml:space="preserve">, to look for </w:t>
      </w:r>
      <w:r w:rsidR="004444BC" w:rsidRPr="00751099">
        <w:rPr>
          <w:rFonts w:ascii="Century Gothic" w:hAnsi="Century Gothic"/>
          <w:sz w:val="20"/>
          <w:szCs w:val="20"/>
        </w:rPr>
        <w:t>opportunities</w:t>
      </w:r>
      <w:r w:rsidR="002B37DD" w:rsidRPr="00751099">
        <w:rPr>
          <w:rFonts w:ascii="Century Gothic" w:hAnsi="Century Gothic"/>
          <w:sz w:val="20"/>
          <w:szCs w:val="20"/>
        </w:rPr>
        <w:t xml:space="preserve"> to create </w:t>
      </w:r>
      <w:r w:rsidR="004444BC" w:rsidRPr="00751099">
        <w:rPr>
          <w:rFonts w:ascii="Century Gothic" w:hAnsi="Century Gothic"/>
          <w:sz w:val="20"/>
          <w:szCs w:val="20"/>
        </w:rPr>
        <w:t xml:space="preserve">mutually-agreeable ways forward. </w:t>
      </w:r>
    </w:p>
    <w:p w14:paraId="2BC2BF6B" w14:textId="2D796EB1" w:rsidR="000B4D81" w:rsidRDefault="00C93E45" w:rsidP="000B4D81">
      <w:pPr>
        <w:rPr>
          <w:rFonts w:ascii="Century Gothic" w:hAnsi="Century Gothic"/>
          <w:sz w:val="20"/>
          <w:szCs w:val="20"/>
        </w:rPr>
      </w:pPr>
      <w:r>
        <w:rPr>
          <w:rFonts w:ascii="Century Gothic" w:hAnsi="Century Gothic"/>
          <w:sz w:val="20"/>
          <w:szCs w:val="20"/>
        </w:rPr>
        <w:t xml:space="preserve">NIC notes the positive examples of our sector working with First Nations </w:t>
      </w:r>
      <w:r w:rsidR="00F072CE">
        <w:rPr>
          <w:rFonts w:ascii="Century Gothic" w:hAnsi="Century Gothic"/>
          <w:sz w:val="20"/>
          <w:szCs w:val="20"/>
        </w:rPr>
        <w:t xml:space="preserve">in our communities </w:t>
      </w:r>
      <w:r>
        <w:rPr>
          <w:rFonts w:ascii="Century Gothic" w:hAnsi="Century Gothic"/>
          <w:sz w:val="20"/>
          <w:szCs w:val="20"/>
        </w:rPr>
        <w:t xml:space="preserve">to advance </w:t>
      </w:r>
      <w:r w:rsidR="006833DC">
        <w:rPr>
          <w:rFonts w:ascii="Century Gothic" w:hAnsi="Century Gothic"/>
          <w:sz w:val="20"/>
          <w:szCs w:val="20"/>
        </w:rPr>
        <w:t>outcomes and</w:t>
      </w:r>
      <w:r>
        <w:rPr>
          <w:rFonts w:ascii="Century Gothic" w:hAnsi="Century Gothic"/>
          <w:sz w:val="20"/>
          <w:szCs w:val="20"/>
        </w:rPr>
        <w:t xml:space="preserve"> seeks that this process expands on that </w:t>
      </w:r>
      <w:r w:rsidR="003D7FB7">
        <w:rPr>
          <w:rFonts w:ascii="Century Gothic" w:hAnsi="Century Gothic"/>
          <w:sz w:val="20"/>
          <w:szCs w:val="20"/>
        </w:rPr>
        <w:t>collaborative</w:t>
      </w:r>
      <w:r w:rsidR="00A355CD">
        <w:rPr>
          <w:rFonts w:ascii="Century Gothic" w:hAnsi="Century Gothic"/>
          <w:sz w:val="20"/>
          <w:szCs w:val="20"/>
        </w:rPr>
        <w:t xml:space="preserve"> and constructive</w:t>
      </w:r>
      <w:r w:rsidR="003D7FB7">
        <w:rPr>
          <w:rFonts w:ascii="Century Gothic" w:hAnsi="Century Gothic"/>
          <w:sz w:val="20"/>
          <w:szCs w:val="20"/>
        </w:rPr>
        <w:t xml:space="preserve"> basis</w:t>
      </w:r>
      <w:r w:rsidR="003424A0">
        <w:rPr>
          <w:rFonts w:ascii="Century Gothic" w:hAnsi="Century Gothic"/>
          <w:sz w:val="20"/>
          <w:szCs w:val="20"/>
        </w:rPr>
        <w:t>, rather than attempting to create divides amongst stakeholders.</w:t>
      </w:r>
      <w:r w:rsidR="009237F5">
        <w:rPr>
          <w:rFonts w:ascii="Century Gothic" w:hAnsi="Century Gothic"/>
          <w:sz w:val="20"/>
          <w:szCs w:val="20"/>
        </w:rPr>
        <w:t xml:space="preserve"> </w:t>
      </w:r>
      <w:r w:rsidR="00C07158">
        <w:rPr>
          <w:rFonts w:ascii="Century Gothic" w:hAnsi="Century Gothic"/>
          <w:sz w:val="20"/>
          <w:szCs w:val="20"/>
        </w:rPr>
        <w:t>A process based on</w:t>
      </w:r>
      <w:r w:rsidR="005C7A71">
        <w:rPr>
          <w:rFonts w:ascii="Century Gothic" w:hAnsi="Century Gothic"/>
          <w:sz w:val="20"/>
          <w:szCs w:val="20"/>
        </w:rPr>
        <w:t xml:space="preserve"> including all stakeholders</w:t>
      </w:r>
      <w:r w:rsidR="00FB4568">
        <w:rPr>
          <w:rFonts w:ascii="Century Gothic" w:hAnsi="Century Gothic"/>
          <w:sz w:val="20"/>
          <w:szCs w:val="20"/>
        </w:rPr>
        <w:t xml:space="preserve">, recognising a willingness for practical outcomes, </w:t>
      </w:r>
      <w:r w:rsidR="00366C27">
        <w:rPr>
          <w:rFonts w:ascii="Century Gothic" w:hAnsi="Century Gothic"/>
          <w:sz w:val="20"/>
          <w:szCs w:val="20"/>
        </w:rPr>
        <w:t xml:space="preserve">and </w:t>
      </w:r>
      <w:r w:rsidR="00554979">
        <w:rPr>
          <w:rFonts w:ascii="Century Gothic" w:hAnsi="Century Gothic"/>
          <w:sz w:val="20"/>
          <w:szCs w:val="20"/>
        </w:rPr>
        <w:t>shared understandings</w:t>
      </w:r>
      <w:r w:rsidR="00AA5DF7">
        <w:rPr>
          <w:rFonts w:ascii="Century Gothic" w:hAnsi="Century Gothic"/>
          <w:sz w:val="20"/>
          <w:szCs w:val="20"/>
        </w:rPr>
        <w:t xml:space="preserve">, will enable working together </w:t>
      </w:r>
      <w:r w:rsidR="001647D3">
        <w:rPr>
          <w:rFonts w:ascii="Century Gothic" w:hAnsi="Century Gothic"/>
          <w:sz w:val="20"/>
          <w:szCs w:val="20"/>
        </w:rPr>
        <w:t xml:space="preserve">to </w:t>
      </w:r>
      <w:r w:rsidR="003B597B">
        <w:rPr>
          <w:rFonts w:ascii="Century Gothic" w:hAnsi="Century Gothic"/>
          <w:sz w:val="20"/>
          <w:szCs w:val="20"/>
        </w:rPr>
        <w:t>achieve meaningful outcomes</w:t>
      </w:r>
      <w:r w:rsidR="005D4CF9">
        <w:rPr>
          <w:rFonts w:ascii="Century Gothic" w:hAnsi="Century Gothic"/>
          <w:sz w:val="20"/>
          <w:szCs w:val="20"/>
        </w:rPr>
        <w:t xml:space="preserve"> with shared support.</w:t>
      </w:r>
    </w:p>
    <w:p w14:paraId="357ED65E" w14:textId="77777777" w:rsidR="00341546" w:rsidRPr="00751099" w:rsidRDefault="00341546" w:rsidP="00341546">
      <w:pPr>
        <w:rPr>
          <w:rFonts w:ascii="Century Gothic" w:hAnsi="Century Gothic"/>
          <w:sz w:val="20"/>
          <w:szCs w:val="20"/>
        </w:rPr>
      </w:pPr>
      <w:r w:rsidRPr="00751099">
        <w:rPr>
          <w:rFonts w:ascii="Century Gothic" w:hAnsi="Century Gothic"/>
          <w:sz w:val="20"/>
          <w:szCs w:val="20"/>
        </w:rPr>
        <w:t>NIC is deeply concerned by divisive approaches to this matter, that seek</w:t>
      </w:r>
      <w:r>
        <w:rPr>
          <w:rFonts w:ascii="Century Gothic" w:hAnsi="Century Gothic"/>
          <w:sz w:val="20"/>
          <w:szCs w:val="20"/>
        </w:rPr>
        <w:t xml:space="preserve"> </w:t>
      </w:r>
      <w:r w:rsidRPr="00751099">
        <w:rPr>
          <w:rFonts w:ascii="Century Gothic" w:hAnsi="Century Gothic"/>
          <w:sz w:val="20"/>
          <w:szCs w:val="20"/>
        </w:rPr>
        <w:t xml:space="preserve">to create tensions between stakeholders. NIC is not entertaining such division. </w:t>
      </w:r>
    </w:p>
    <w:p w14:paraId="3400DBD9" w14:textId="77777777" w:rsidR="00341546" w:rsidRPr="00751099" w:rsidRDefault="00341546" w:rsidP="004E6330">
      <w:pPr>
        <w:rPr>
          <w:rFonts w:ascii="Century Gothic" w:hAnsi="Century Gothic"/>
          <w:sz w:val="20"/>
          <w:szCs w:val="20"/>
        </w:rPr>
      </w:pPr>
    </w:p>
    <w:p w14:paraId="2CA09D8E" w14:textId="4121F6E2" w:rsidR="006E43F0" w:rsidRPr="00751099" w:rsidRDefault="006E43F0" w:rsidP="006E43F0">
      <w:pPr>
        <w:pStyle w:val="Heading2"/>
        <w:rPr>
          <w:rFonts w:ascii="Century Gothic" w:hAnsi="Century Gothic"/>
          <w:sz w:val="28"/>
          <w:szCs w:val="28"/>
        </w:rPr>
      </w:pPr>
      <w:bookmarkStart w:id="5" w:name="_Toc233372724"/>
      <w:r w:rsidRPr="00751099">
        <w:rPr>
          <w:rFonts w:ascii="Century Gothic" w:hAnsi="Century Gothic"/>
          <w:sz w:val="28"/>
          <w:szCs w:val="28"/>
        </w:rPr>
        <w:t xml:space="preserve">Water reform framework </w:t>
      </w:r>
      <w:r w:rsidR="00D62031" w:rsidRPr="00751099">
        <w:rPr>
          <w:rFonts w:ascii="Century Gothic" w:hAnsi="Century Gothic"/>
          <w:sz w:val="28"/>
          <w:szCs w:val="28"/>
        </w:rPr>
        <w:t xml:space="preserve">must </w:t>
      </w:r>
      <w:r w:rsidR="002E5CD0">
        <w:rPr>
          <w:rFonts w:ascii="Century Gothic" w:hAnsi="Century Gothic"/>
          <w:sz w:val="28"/>
          <w:szCs w:val="28"/>
        </w:rPr>
        <w:t>be adhered to</w:t>
      </w:r>
      <w:bookmarkEnd w:id="5"/>
    </w:p>
    <w:p w14:paraId="0310BBAD" w14:textId="6AD065BF" w:rsidR="00F4203E" w:rsidRPr="00751099" w:rsidRDefault="00D62031" w:rsidP="00D62031">
      <w:pPr>
        <w:rPr>
          <w:rFonts w:ascii="Century Gothic" w:hAnsi="Century Gothic"/>
          <w:sz w:val="20"/>
          <w:szCs w:val="20"/>
        </w:rPr>
      </w:pPr>
      <w:r w:rsidRPr="00751099">
        <w:rPr>
          <w:rFonts w:ascii="Century Gothic" w:hAnsi="Century Gothic"/>
          <w:sz w:val="20"/>
          <w:szCs w:val="20"/>
        </w:rPr>
        <w:t>Water reform in Australia has faced three-decades of reform. The blueprint for this reform journey was the National Water Initiative (NWI), which laid the foundations for the key regulatory instruments and approaches</w:t>
      </w:r>
      <w:r w:rsidR="00554E0D" w:rsidRPr="00751099">
        <w:rPr>
          <w:rFonts w:ascii="Century Gothic" w:hAnsi="Century Gothic"/>
          <w:sz w:val="20"/>
          <w:szCs w:val="20"/>
        </w:rPr>
        <w:t xml:space="preserve"> – such as</w:t>
      </w:r>
      <w:r w:rsidR="00530154" w:rsidRPr="00751099">
        <w:rPr>
          <w:rFonts w:ascii="Century Gothic" w:hAnsi="Century Gothic"/>
          <w:sz w:val="20"/>
          <w:szCs w:val="20"/>
        </w:rPr>
        <w:t xml:space="preserve"> sustainable extraction limits, water entitlements separate to land</w:t>
      </w:r>
      <w:r w:rsidR="00AB61D8" w:rsidRPr="00751099">
        <w:rPr>
          <w:rFonts w:ascii="Century Gothic" w:hAnsi="Century Gothic"/>
          <w:sz w:val="20"/>
          <w:szCs w:val="20"/>
        </w:rPr>
        <w:t xml:space="preserve"> </w:t>
      </w:r>
      <w:r w:rsidR="00A44E66">
        <w:rPr>
          <w:rFonts w:ascii="Century Gothic" w:hAnsi="Century Gothic"/>
          <w:sz w:val="20"/>
          <w:szCs w:val="20"/>
        </w:rPr>
        <w:t xml:space="preserve">and </w:t>
      </w:r>
      <w:r w:rsidR="001650E5">
        <w:rPr>
          <w:rFonts w:ascii="Century Gothic" w:hAnsi="Century Gothic"/>
          <w:sz w:val="20"/>
          <w:szCs w:val="20"/>
        </w:rPr>
        <w:t xml:space="preserve">allocation </w:t>
      </w:r>
      <w:r w:rsidR="00A44E66">
        <w:rPr>
          <w:rFonts w:ascii="Century Gothic" w:hAnsi="Century Gothic"/>
          <w:sz w:val="20"/>
          <w:szCs w:val="20"/>
        </w:rPr>
        <w:t xml:space="preserve">systems </w:t>
      </w:r>
      <w:r w:rsidR="001650E5">
        <w:rPr>
          <w:rFonts w:ascii="Century Gothic" w:hAnsi="Century Gothic"/>
          <w:sz w:val="20"/>
          <w:szCs w:val="20"/>
        </w:rPr>
        <w:t>that</w:t>
      </w:r>
      <w:r w:rsidR="00AB61D8" w:rsidRPr="00751099" w:rsidDel="00A44E66">
        <w:rPr>
          <w:rFonts w:ascii="Century Gothic" w:hAnsi="Century Gothic"/>
          <w:sz w:val="20"/>
          <w:szCs w:val="20"/>
        </w:rPr>
        <w:t xml:space="preserve"> </w:t>
      </w:r>
      <w:r w:rsidR="00E7403F">
        <w:rPr>
          <w:rFonts w:ascii="Century Gothic" w:hAnsi="Century Gothic"/>
          <w:sz w:val="20"/>
          <w:szCs w:val="20"/>
        </w:rPr>
        <w:t>provide a</w:t>
      </w:r>
      <w:r w:rsidR="00AB61D8" w:rsidRPr="00751099">
        <w:rPr>
          <w:rFonts w:ascii="Century Gothic" w:hAnsi="Century Gothic"/>
          <w:sz w:val="20"/>
          <w:szCs w:val="20"/>
        </w:rPr>
        <w:t xml:space="preserve"> share of the available resource, </w:t>
      </w:r>
      <w:r w:rsidR="00E7403F">
        <w:rPr>
          <w:rFonts w:ascii="Century Gothic" w:hAnsi="Century Gothic"/>
          <w:sz w:val="20"/>
          <w:szCs w:val="20"/>
        </w:rPr>
        <w:t xml:space="preserve">all detailed </w:t>
      </w:r>
      <w:r w:rsidR="006833DC">
        <w:rPr>
          <w:rFonts w:ascii="Century Gothic" w:hAnsi="Century Gothic"/>
          <w:sz w:val="20"/>
          <w:szCs w:val="20"/>
        </w:rPr>
        <w:t>within all</w:t>
      </w:r>
      <w:r w:rsidR="00E7403F">
        <w:rPr>
          <w:rFonts w:ascii="Century Gothic" w:hAnsi="Century Gothic"/>
          <w:sz w:val="20"/>
          <w:szCs w:val="20"/>
        </w:rPr>
        <w:t xml:space="preserve"> detailed within</w:t>
      </w:r>
      <w:r w:rsidR="00E7403F" w:rsidRPr="00751099">
        <w:rPr>
          <w:rFonts w:ascii="Century Gothic" w:hAnsi="Century Gothic"/>
          <w:sz w:val="20"/>
          <w:szCs w:val="20"/>
        </w:rPr>
        <w:t xml:space="preserve"> </w:t>
      </w:r>
      <w:r w:rsidR="00AB61D8" w:rsidRPr="00751099">
        <w:rPr>
          <w:rFonts w:ascii="Century Gothic" w:hAnsi="Century Gothic"/>
          <w:sz w:val="20"/>
          <w:szCs w:val="20"/>
        </w:rPr>
        <w:t xml:space="preserve">statutory water plans – to name a few. </w:t>
      </w:r>
      <w:r w:rsidR="00F4203E" w:rsidRPr="00751099">
        <w:rPr>
          <w:rFonts w:ascii="Century Gothic" w:hAnsi="Century Gothic"/>
          <w:sz w:val="20"/>
          <w:szCs w:val="20"/>
        </w:rPr>
        <w:t xml:space="preserve">These regulatory tools are now </w:t>
      </w:r>
      <w:r w:rsidR="00E7403F">
        <w:rPr>
          <w:rFonts w:ascii="Century Gothic" w:hAnsi="Century Gothic"/>
          <w:sz w:val="20"/>
          <w:szCs w:val="20"/>
        </w:rPr>
        <w:t xml:space="preserve">broadly </w:t>
      </w:r>
      <w:r w:rsidR="00F4203E" w:rsidRPr="00751099">
        <w:rPr>
          <w:rFonts w:ascii="Century Gothic" w:hAnsi="Century Gothic"/>
          <w:sz w:val="20"/>
          <w:szCs w:val="20"/>
        </w:rPr>
        <w:t>established</w:t>
      </w:r>
      <w:r w:rsidR="00E7403F">
        <w:rPr>
          <w:rFonts w:ascii="Century Gothic" w:hAnsi="Century Gothic"/>
          <w:sz w:val="20"/>
          <w:szCs w:val="20"/>
        </w:rPr>
        <w:t xml:space="preserve"> around Australia</w:t>
      </w:r>
      <w:r w:rsidR="00F51B3B">
        <w:rPr>
          <w:rFonts w:ascii="Century Gothic" w:hAnsi="Century Gothic"/>
          <w:sz w:val="20"/>
          <w:szCs w:val="20"/>
        </w:rPr>
        <w:t xml:space="preserve">, with </w:t>
      </w:r>
      <w:r w:rsidR="001135E4">
        <w:rPr>
          <w:rFonts w:ascii="Century Gothic" w:hAnsi="Century Gothic"/>
          <w:sz w:val="20"/>
          <w:szCs w:val="20"/>
        </w:rPr>
        <w:t>multiple iterations in place in regions like the Murray Darling Basin</w:t>
      </w:r>
      <w:r w:rsidR="00F4203E" w:rsidRPr="00751099">
        <w:rPr>
          <w:rFonts w:ascii="Century Gothic" w:hAnsi="Century Gothic"/>
          <w:sz w:val="20"/>
          <w:szCs w:val="20"/>
        </w:rPr>
        <w:t>. This has given governments the ability to manage and control water as a distinct resource,</w:t>
      </w:r>
      <w:r w:rsidR="00371474" w:rsidRPr="00751099">
        <w:rPr>
          <w:rFonts w:ascii="Century Gothic" w:hAnsi="Century Gothic"/>
          <w:sz w:val="20"/>
          <w:szCs w:val="20"/>
        </w:rPr>
        <w:t xml:space="preserve"> recover water if deemed non-sustainable, and</w:t>
      </w:r>
      <w:r w:rsidR="00F4203E" w:rsidRPr="00751099">
        <w:rPr>
          <w:rFonts w:ascii="Century Gothic" w:hAnsi="Century Gothic"/>
          <w:sz w:val="20"/>
          <w:szCs w:val="20"/>
        </w:rPr>
        <w:t xml:space="preserve"> </w:t>
      </w:r>
      <w:r w:rsidR="00371474" w:rsidRPr="00751099">
        <w:rPr>
          <w:rFonts w:ascii="Century Gothic" w:hAnsi="Century Gothic"/>
          <w:sz w:val="20"/>
          <w:szCs w:val="20"/>
        </w:rPr>
        <w:t>impose responsibilities</w:t>
      </w:r>
      <w:r w:rsidR="00364DAF" w:rsidRPr="00751099">
        <w:rPr>
          <w:rFonts w:ascii="Century Gothic" w:hAnsi="Century Gothic"/>
          <w:sz w:val="20"/>
          <w:szCs w:val="20"/>
        </w:rPr>
        <w:t xml:space="preserve">. </w:t>
      </w:r>
    </w:p>
    <w:p w14:paraId="60A4484C" w14:textId="19ECD502" w:rsidR="009F2B04" w:rsidRPr="00751099" w:rsidRDefault="00364DAF" w:rsidP="00D62031">
      <w:pPr>
        <w:rPr>
          <w:rFonts w:ascii="Century Gothic" w:hAnsi="Century Gothic"/>
          <w:sz w:val="20"/>
          <w:szCs w:val="20"/>
        </w:rPr>
      </w:pPr>
      <w:r w:rsidRPr="00751099">
        <w:rPr>
          <w:rFonts w:ascii="Century Gothic" w:hAnsi="Century Gothic"/>
          <w:sz w:val="20"/>
          <w:szCs w:val="20"/>
        </w:rPr>
        <w:t>Any future reform must</w:t>
      </w:r>
      <w:r w:rsidR="008C3FF4">
        <w:rPr>
          <w:rFonts w:ascii="Century Gothic" w:hAnsi="Century Gothic"/>
          <w:sz w:val="20"/>
          <w:szCs w:val="20"/>
        </w:rPr>
        <w:t xml:space="preserve"> consistently</w:t>
      </w:r>
      <w:r w:rsidRPr="00751099">
        <w:rPr>
          <w:rFonts w:ascii="Century Gothic" w:hAnsi="Century Gothic"/>
          <w:sz w:val="20"/>
          <w:szCs w:val="20"/>
        </w:rPr>
        <w:t xml:space="preserve"> </w:t>
      </w:r>
      <w:r w:rsidR="008C3FF4">
        <w:rPr>
          <w:rFonts w:ascii="Century Gothic" w:hAnsi="Century Gothic"/>
          <w:sz w:val="20"/>
          <w:szCs w:val="20"/>
        </w:rPr>
        <w:t xml:space="preserve">work with </w:t>
      </w:r>
      <w:r w:rsidRPr="00751099">
        <w:rPr>
          <w:rFonts w:ascii="Century Gothic" w:hAnsi="Century Gothic"/>
          <w:sz w:val="20"/>
          <w:szCs w:val="20"/>
        </w:rPr>
        <w:t>this foundational blueprint</w:t>
      </w:r>
      <w:r w:rsidR="008C3FF4">
        <w:rPr>
          <w:rFonts w:ascii="Century Gothic" w:hAnsi="Century Gothic"/>
          <w:sz w:val="20"/>
          <w:szCs w:val="20"/>
        </w:rPr>
        <w:t xml:space="preserve">. </w:t>
      </w:r>
    </w:p>
    <w:p w14:paraId="54A53751" w14:textId="6A87259F" w:rsidR="006C12F2" w:rsidRPr="00751099" w:rsidRDefault="006C12F2" w:rsidP="00D62031">
      <w:pPr>
        <w:rPr>
          <w:rFonts w:ascii="Century Gothic" w:hAnsi="Century Gothic"/>
          <w:sz w:val="20"/>
          <w:szCs w:val="20"/>
        </w:rPr>
      </w:pPr>
      <w:r w:rsidRPr="00751099">
        <w:rPr>
          <w:rFonts w:ascii="Century Gothic" w:hAnsi="Century Gothic"/>
          <w:sz w:val="20"/>
          <w:szCs w:val="20"/>
        </w:rPr>
        <w:t>Key positions:</w:t>
      </w:r>
    </w:p>
    <w:p w14:paraId="0CDD0540" w14:textId="559803EF" w:rsidR="00530154" w:rsidRPr="00751099" w:rsidRDefault="009F2B04" w:rsidP="006C12F2">
      <w:pPr>
        <w:pStyle w:val="ListParagraph"/>
        <w:numPr>
          <w:ilvl w:val="0"/>
          <w:numId w:val="36"/>
        </w:numPr>
        <w:rPr>
          <w:rFonts w:ascii="Century Gothic" w:hAnsi="Century Gothic"/>
          <w:sz w:val="20"/>
          <w:szCs w:val="20"/>
        </w:rPr>
      </w:pPr>
      <w:r w:rsidRPr="00751099">
        <w:rPr>
          <w:rFonts w:ascii="Century Gothic" w:hAnsi="Century Gothic"/>
          <w:sz w:val="20"/>
          <w:szCs w:val="20"/>
        </w:rPr>
        <w:t xml:space="preserve">NIC supports the use, access and management of water for Cultural objectives, </w:t>
      </w:r>
      <w:r w:rsidRPr="00751099">
        <w:rPr>
          <w:rFonts w:ascii="Century Gothic" w:hAnsi="Century Gothic"/>
          <w:b/>
          <w:bCs/>
          <w:sz w:val="20"/>
          <w:szCs w:val="20"/>
        </w:rPr>
        <w:t>within</w:t>
      </w:r>
      <w:r w:rsidRPr="00751099">
        <w:rPr>
          <w:rFonts w:ascii="Century Gothic" w:hAnsi="Century Gothic"/>
          <w:sz w:val="20"/>
          <w:szCs w:val="20"/>
        </w:rPr>
        <w:t xml:space="preserve"> the </w:t>
      </w:r>
      <w:r w:rsidRPr="0077185F">
        <w:rPr>
          <w:rFonts w:ascii="Century Gothic" w:hAnsi="Century Gothic"/>
          <w:b/>
          <w:bCs/>
          <w:sz w:val="20"/>
          <w:szCs w:val="20"/>
        </w:rPr>
        <w:t>current</w:t>
      </w:r>
      <w:r w:rsidRPr="00751099">
        <w:rPr>
          <w:rFonts w:ascii="Century Gothic" w:hAnsi="Century Gothic"/>
          <w:sz w:val="20"/>
          <w:szCs w:val="20"/>
        </w:rPr>
        <w:t xml:space="preserve"> water management framework and market systems.</w:t>
      </w:r>
    </w:p>
    <w:p w14:paraId="195E58D6" w14:textId="57DE4B64" w:rsidR="00F13607" w:rsidRPr="001C6BA5" w:rsidRDefault="006C12F2" w:rsidP="00F13607">
      <w:pPr>
        <w:pStyle w:val="ListParagraph"/>
        <w:numPr>
          <w:ilvl w:val="0"/>
          <w:numId w:val="36"/>
        </w:numPr>
        <w:rPr>
          <w:rFonts w:ascii="Century Gothic" w:hAnsi="Century Gothic"/>
          <w:sz w:val="20"/>
          <w:szCs w:val="20"/>
        </w:rPr>
      </w:pPr>
      <w:r w:rsidRPr="00751099">
        <w:rPr>
          <w:rFonts w:ascii="Century Gothic" w:hAnsi="Century Gothic"/>
          <w:sz w:val="20"/>
          <w:szCs w:val="20"/>
        </w:rPr>
        <w:t>There must be no third-party impacts on current water entitlements, their reliability, nor any legal or practical changes to entitlement characteristics, from any initiative or program - including Cultural and environmental flows.</w:t>
      </w:r>
    </w:p>
    <w:p w14:paraId="6E79E124" w14:textId="77777777" w:rsidR="00F13607" w:rsidRPr="00751099" w:rsidRDefault="00F13607" w:rsidP="00F13607">
      <w:pPr>
        <w:rPr>
          <w:rFonts w:ascii="Century Gothic" w:hAnsi="Century Gothic"/>
          <w:sz w:val="20"/>
          <w:szCs w:val="20"/>
        </w:rPr>
      </w:pPr>
      <w:r w:rsidRPr="00BD1371">
        <w:rPr>
          <w:rFonts w:ascii="Century Gothic" w:hAnsi="Century Gothic"/>
          <w:b/>
          <w:bCs/>
          <w:sz w:val="20"/>
          <w:szCs w:val="20"/>
        </w:rPr>
        <w:t>NIC recommend</w:t>
      </w:r>
      <w:r w:rsidRPr="00751099">
        <w:rPr>
          <w:rFonts w:ascii="Century Gothic" w:hAnsi="Century Gothic"/>
          <w:sz w:val="20"/>
          <w:szCs w:val="20"/>
        </w:rPr>
        <w:t xml:space="preserve"> that:</w:t>
      </w:r>
    </w:p>
    <w:p w14:paraId="0625AD66" w14:textId="52269AC6" w:rsidR="00F13607" w:rsidRPr="00F13607" w:rsidRDefault="00F13607" w:rsidP="00F13607">
      <w:pPr>
        <w:pStyle w:val="ListParagraph"/>
        <w:numPr>
          <w:ilvl w:val="0"/>
          <w:numId w:val="45"/>
        </w:numPr>
        <w:rPr>
          <w:rFonts w:ascii="Century Gothic" w:hAnsi="Century Gothic"/>
          <w:sz w:val="20"/>
          <w:szCs w:val="20"/>
        </w:rPr>
      </w:pPr>
      <w:r>
        <w:rPr>
          <w:rFonts w:ascii="Century Gothic" w:hAnsi="Century Gothic"/>
          <w:sz w:val="20"/>
          <w:szCs w:val="20"/>
        </w:rPr>
        <w:lastRenderedPageBreak/>
        <w:t xml:space="preserve">Any legislative amendments being contemplated are done so in a manner that is consistent with the </w:t>
      </w:r>
      <w:r w:rsidR="001C6BA5">
        <w:rPr>
          <w:rFonts w:ascii="Century Gothic" w:hAnsi="Century Gothic"/>
          <w:sz w:val="20"/>
          <w:szCs w:val="20"/>
        </w:rPr>
        <w:t xml:space="preserve">current </w:t>
      </w:r>
      <w:r>
        <w:rPr>
          <w:rFonts w:ascii="Century Gothic" w:hAnsi="Century Gothic"/>
          <w:sz w:val="20"/>
          <w:szCs w:val="20"/>
        </w:rPr>
        <w:t>NWI</w:t>
      </w:r>
      <w:r w:rsidR="001C6BA5">
        <w:rPr>
          <w:rFonts w:ascii="Century Gothic" w:hAnsi="Century Gothic"/>
          <w:sz w:val="20"/>
          <w:szCs w:val="20"/>
        </w:rPr>
        <w:t xml:space="preserve"> </w:t>
      </w:r>
      <w:r w:rsidR="001C6BA5" w:rsidRPr="00751099">
        <w:rPr>
          <w:rFonts w:ascii="Century Gothic" w:hAnsi="Century Gothic"/>
          <w:sz w:val="20"/>
          <w:szCs w:val="20"/>
        </w:rPr>
        <w:t>water management</w:t>
      </w:r>
      <w:r>
        <w:rPr>
          <w:rFonts w:ascii="Century Gothic" w:hAnsi="Century Gothic"/>
          <w:sz w:val="20"/>
          <w:szCs w:val="20"/>
        </w:rPr>
        <w:t xml:space="preserve"> framework</w:t>
      </w:r>
      <w:r w:rsidR="00575A3D">
        <w:rPr>
          <w:rFonts w:ascii="Century Gothic" w:hAnsi="Century Gothic"/>
          <w:sz w:val="20"/>
          <w:szCs w:val="20"/>
        </w:rPr>
        <w:t xml:space="preserve"> (i.e. water entitlement framework, as per the NWI characteristics)</w:t>
      </w:r>
      <w:r w:rsidR="001C6BA5">
        <w:rPr>
          <w:rFonts w:ascii="Century Gothic" w:hAnsi="Century Gothic"/>
          <w:sz w:val="20"/>
          <w:szCs w:val="20"/>
        </w:rPr>
        <w:t xml:space="preserve">; which necessarily involves </w:t>
      </w:r>
      <w:r w:rsidR="001C6BA5" w:rsidRPr="00751099">
        <w:rPr>
          <w:rFonts w:ascii="Century Gothic" w:hAnsi="Century Gothic"/>
          <w:sz w:val="20"/>
          <w:szCs w:val="20"/>
        </w:rPr>
        <w:t>no third-party impacts on current water entitlements, their reliability, nor any legal or practical changes to entitlement characteristics</w:t>
      </w:r>
      <w:r w:rsidR="001C6BA5">
        <w:rPr>
          <w:rFonts w:ascii="Century Gothic" w:hAnsi="Century Gothic"/>
          <w:sz w:val="20"/>
          <w:szCs w:val="20"/>
        </w:rPr>
        <w:t>.</w:t>
      </w:r>
    </w:p>
    <w:p w14:paraId="154C2D05" w14:textId="53C772C6" w:rsidR="00344C99" w:rsidRPr="00344C99" w:rsidRDefault="00344C99" w:rsidP="00F13607">
      <w:pPr>
        <w:pStyle w:val="Heading3"/>
      </w:pPr>
      <w:bookmarkStart w:id="6" w:name="_Toc233372725"/>
      <w:r w:rsidRPr="00344C99">
        <w:t>National Water Agreement</w:t>
      </w:r>
      <w:bookmarkEnd w:id="6"/>
      <w:r w:rsidRPr="00344C99">
        <w:t xml:space="preserve"> </w:t>
      </w:r>
    </w:p>
    <w:p w14:paraId="7E6E2CE7" w14:textId="1D044D57" w:rsidR="00B17FCC" w:rsidRDefault="0077185F" w:rsidP="00862455">
      <w:pPr>
        <w:rPr>
          <w:rFonts w:ascii="Century Gothic" w:hAnsi="Century Gothic"/>
          <w:sz w:val="20"/>
          <w:szCs w:val="20"/>
        </w:rPr>
      </w:pPr>
      <w:r>
        <w:rPr>
          <w:rFonts w:ascii="Century Gothic" w:hAnsi="Century Gothic"/>
          <w:sz w:val="20"/>
          <w:szCs w:val="20"/>
        </w:rPr>
        <w:t xml:space="preserve">NIC </w:t>
      </w:r>
      <w:r w:rsidR="00B17FCC">
        <w:rPr>
          <w:rFonts w:ascii="Century Gothic" w:hAnsi="Century Gothic"/>
          <w:sz w:val="20"/>
          <w:szCs w:val="20"/>
        </w:rPr>
        <w:t xml:space="preserve">also </w:t>
      </w:r>
      <w:r>
        <w:rPr>
          <w:rFonts w:ascii="Century Gothic" w:hAnsi="Century Gothic"/>
          <w:sz w:val="20"/>
          <w:szCs w:val="20"/>
        </w:rPr>
        <w:t xml:space="preserve">notes that the NWI is currently being renewed into </w:t>
      </w:r>
      <w:r w:rsidR="00D93640">
        <w:rPr>
          <w:rFonts w:ascii="Century Gothic" w:hAnsi="Century Gothic"/>
          <w:sz w:val="20"/>
          <w:szCs w:val="20"/>
        </w:rPr>
        <w:t>a new National Water Agreement (NWA). At this point in</w:t>
      </w:r>
      <w:r w:rsidR="00B17FCC">
        <w:rPr>
          <w:rFonts w:ascii="Century Gothic" w:hAnsi="Century Gothic"/>
          <w:sz w:val="20"/>
          <w:szCs w:val="20"/>
        </w:rPr>
        <w:t xml:space="preserve"> </w:t>
      </w:r>
      <w:r w:rsidR="00D93640">
        <w:rPr>
          <w:rFonts w:ascii="Century Gothic" w:hAnsi="Century Gothic"/>
          <w:sz w:val="20"/>
          <w:szCs w:val="20"/>
        </w:rPr>
        <w:t>time, there has been no transparency to stakeholders on the final version, and it is understood that many states have not signed the new version</w:t>
      </w:r>
      <w:r w:rsidR="008520A4">
        <w:rPr>
          <w:rFonts w:ascii="Century Gothic" w:hAnsi="Century Gothic"/>
          <w:sz w:val="20"/>
          <w:szCs w:val="20"/>
        </w:rPr>
        <w:t xml:space="preserve"> (only the Commonwealth Minister)</w:t>
      </w:r>
      <w:r w:rsidR="00D93640">
        <w:rPr>
          <w:rFonts w:ascii="Century Gothic" w:hAnsi="Century Gothic"/>
          <w:sz w:val="20"/>
          <w:szCs w:val="20"/>
        </w:rPr>
        <w:t>.</w:t>
      </w:r>
      <w:r w:rsidR="00B17FCC">
        <w:rPr>
          <w:rFonts w:ascii="Century Gothic" w:hAnsi="Century Gothic"/>
          <w:sz w:val="20"/>
          <w:szCs w:val="20"/>
        </w:rPr>
        <w:t xml:space="preserve"> If this review seeks to incorporate those new articles of the NWA into legislation, </w:t>
      </w:r>
      <w:r w:rsidR="00C04A1A">
        <w:rPr>
          <w:rFonts w:ascii="Century Gothic" w:hAnsi="Century Gothic"/>
          <w:sz w:val="20"/>
          <w:szCs w:val="20"/>
        </w:rPr>
        <w:t xml:space="preserve">it will be critical to first ensure that the state jurisdictions are supportive (i.e. that they become signatories) </w:t>
      </w:r>
      <w:r w:rsidR="008520A4">
        <w:rPr>
          <w:rFonts w:ascii="Century Gothic" w:hAnsi="Century Gothic"/>
          <w:sz w:val="20"/>
          <w:szCs w:val="20"/>
        </w:rPr>
        <w:t>in order to maintain the same cooperative foundations</w:t>
      </w:r>
      <w:r w:rsidR="004B6406">
        <w:rPr>
          <w:rFonts w:ascii="Century Gothic" w:hAnsi="Century Gothic"/>
          <w:sz w:val="20"/>
          <w:szCs w:val="20"/>
        </w:rPr>
        <w:t xml:space="preserve"> </w:t>
      </w:r>
      <w:r w:rsidR="00E459B2">
        <w:rPr>
          <w:rFonts w:ascii="Century Gothic" w:hAnsi="Century Gothic"/>
          <w:sz w:val="20"/>
          <w:szCs w:val="20"/>
        </w:rPr>
        <w:t>(</w:t>
      </w:r>
      <w:r w:rsidR="004B6406">
        <w:rPr>
          <w:rFonts w:ascii="Century Gothic" w:hAnsi="Century Gothic"/>
          <w:sz w:val="20"/>
          <w:szCs w:val="20"/>
        </w:rPr>
        <w:t>which will almost certainly require proper process to ensure transparency of the final version</w:t>
      </w:r>
      <w:r w:rsidR="00E459B2">
        <w:rPr>
          <w:rFonts w:ascii="Century Gothic" w:hAnsi="Century Gothic"/>
          <w:sz w:val="20"/>
          <w:szCs w:val="20"/>
        </w:rPr>
        <w:t>), and that this process takes place</w:t>
      </w:r>
      <w:r w:rsidR="00677234">
        <w:rPr>
          <w:rFonts w:ascii="Century Gothic" w:hAnsi="Century Gothic"/>
          <w:sz w:val="20"/>
          <w:szCs w:val="20"/>
        </w:rPr>
        <w:t xml:space="preserve"> prior to legislative amendments</w:t>
      </w:r>
      <w:r w:rsidR="004B6406">
        <w:rPr>
          <w:rFonts w:ascii="Century Gothic" w:hAnsi="Century Gothic"/>
          <w:sz w:val="20"/>
          <w:szCs w:val="20"/>
        </w:rPr>
        <w:t>.</w:t>
      </w:r>
      <w:r w:rsidR="00677234">
        <w:rPr>
          <w:rFonts w:ascii="Century Gothic" w:hAnsi="Century Gothic"/>
          <w:sz w:val="20"/>
          <w:szCs w:val="20"/>
        </w:rPr>
        <w:t xml:space="preserve"> </w:t>
      </w:r>
      <w:r w:rsidR="009E03EF">
        <w:rPr>
          <w:rFonts w:ascii="Century Gothic" w:hAnsi="Century Gothic"/>
          <w:sz w:val="20"/>
          <w:szCs w:val="20"/>
        </w:rPr>
        <w:t xml:space="preserve">Put simply – it is not a National Water Agreement, if no states have agreed – and it would be premature to </w:t>
      </w:r>
      <w:r w:rsidR="009E03EF">
        <w:rPr>
          <w:rFonts w:ascii="Century Gothic" w:hAnsi="Century Gothic"/>
          <w:sz w:val="20"/>
          <w:szCs w:val="20"/>
        </w:rPr>
        <w:t xml:space="preserve">rely on it for this review, or </w:t>
      </w:r>
      <w:r w:rsidR="009E03EF">
        <w:rPr>
          <w:rFonts w:ascii="Century Gothic" w:hAnsi="Century Gothic"/>
          <w:sz w:val="20"/>
          <w:szCs w:val="20"/>
        </w:rPr>
        <w:t xml:space="preserve">progress to legislative amendments, without such agreement.  </w:t>
      </w:r>
      <w:r w:rsidR="00677234">
        <w:rPr>
          <w:rFonts w:ascii="Century Gothic" w:hAnsi="Century Gothic"/>
          <w:sz w:val="20"/>
          <w:szCs w:val="20"/>
        </w:rPr>
        <w:t xml:space="preserve">Put simply – it is not a National Water Agreement, if no states have agreed – and it would be premature to </w:t>
      </w:r>
      <w:r w:rsidR="00694680">
        <w:rPr>
          <w:rFonts w:ascii="Century Gothic" w:hAnsi="Century Gothic"/>
          <w:sz w:val="20"/>
          <w:szCs w:val="20"/>
        </w:rPr>
        <w:t xml:space="preserve">rely on it for this review, or </w:t>
      </w:r>
      <w:r w:rsidR="00677234">
        <w:rPr>
          <w:rFonts w:ascii="Century Gothic" w:hAnsi="Century Gothic"/>
          <w:sz w:val="20"/>
          <w:szCs w:val="20"/>
        </w:rPr>
        <w:t xml:space="preserve">progress to legislative amendments, without such agreement. </w:t>
      </w:r>
      <w:r w:rsidR="004B6406">
        <w:rPr>
          <w:rFonts w:ascii="Century Gothic" w:hAnsi="Century Gothic"/>
          <w:sz w:val="20"/>
          <w:szCs w:val="20"/>
        </w:rPr>
        <w:t xml:space="preserve"> </w:t>
      </w:r>
    </w:p>
    <w:p w14:paraId="0FB7349B" w14:textId="398E084B" w:rsidR="005B54BA" w:rsidRDefault="00B03514" w:rsidP="00862455">
      <w:pPr>
        <w:rPr>
          <w:rFonts w:ascii="Century Gothic" w:hAnsi="Century Gothic"/>
          <w:sz w:val="20"/>
          <w:szCs w:val="20"/>
        </w:rPr>
      </w:pPr>
      <w:r>
        <w:rPr>
          <w:rFonts w:ascii="Century Gothic" w:hAnsi="Century Gothic"/>
          <w:sz w:val="20"/>
          <w:szCs w:val="20"/>
        </w:rPr>
        <w:t>The public consultation on the drafting of the NWA included themes relevant to First Nations</w:t>
      </w:r>
      <w:r w:rsidR="00EF0A04">
        <w:rPr>
          <w:rFonts w:ascii="Century Gothic" w:hAnsi="Century Gothic"/>
          <w:sz w:val="20"/>
          <w:szCs w:val="20"/>
        </w:rPr>
        <w:t xml:space="preserve">. </w:t>
      </w:r>
      <w:r w:rsidR="00CA25B9">
        <w:rPr>
          <w:rFonts w:ascii="Century Gothic" w:hAnsi="Century Gothic"/>
          <w:sz w:val="20"/>
          <w:szCs w:val="20"/>
        </w:rPr>
        <w:t>To the extent that this review looks to those NWA</w:t>
      </w:r>
      <w:r w:rsidR="00636549">
        <w:rPr>
          <w:rFonts w:ascii="Century Gothic" w:hAnsi="Century Gothic"/>
          <w:sz w:val="20"/>
          <w:szCs w:val="20"/>
        </w:rPr>
        <w:t xml:space="preserve"> articles, i</w:t>
      </w:r>
      <w:r w:rsidR="00EF0A04">
        <w:rPr>
          <w:rFonts w:ascii="Century Gothic" w:hAnsi="Century Gothic"/>
          <w:sz w:val="20"/>
          <w:szCs w:val="20"/>
        </w:rPr>
        <w:t xml:space="preserve">t will be important for this review to </w:t>
      </w:r>
      <w:r w:rsidR="000F5FFC">
        <w:rPr>
          <w:rFonts w:ascii="Century Gothic" w:hAnsi="Century Gothic"/>
          <w:sz w:val="20"/>
          <w:szCs w:val="20"/>
        </w:rPr>
        <w:t>incorporate the learnings and feedback from that process</w:t>
      </w:r>
      <w:r w:rsidR="008F2F11">
        <w:rPr>
          <w:rFonts w:ascii="Century Gothic" w:hAnsi="Century Gothic"/>
          <w:sz w:val="20"/>
          <w:szCs w:val="20"/>
        </w:rPr>
        <w:t xml:space="preserve"> also</w:t>
      </w:r>
      <w:r w:rsidR="000F5FFC">
        <w:rPr>
          <w:rFonts w:ascii="Century Gothic" w:hAnsi="Century Gothic"/>
          <w:sz w:val="20"/>
          <w:szCs w:val="20"/>
        </w:rPr>
        <w:t xml:space="preserve">. </w:t>
      </w:r>
      <w:r w:rsidR="00D63A4F">
        <w:rPr>
          <w:rFonts w:ascii="Century Gothic" w:hAnsi="Century Gothic"/>
          <w:sz w:val="20"/>
          <w:szCs w:val="20"/>
        </w:rPr>
        <w:t xml:space="preserve">At this point, many of the issues raised by stakeholders during that NWA process are not reflected in the consultation materials. </w:t>
      </w:r>
      <w:r w:rsidR="00F9359F">
        <w:rPr>
          <w:rFonts w:ascii="Century Gothic" w:hAnsi="Century Gothic"/>
          <w:sz w:val="20"/>
          <w:szCs w:val="20"/>
        </w:rPr>
        <w:t xml:space="preserve">NIC recommends this review also considers the submissions provided by a broad range of stakeholders relating to those themes in the NWA. </w:t>
      </w:r>
    </w:p>
    <w:p w14:paraId="467F707F" w14:textId="3D4D3CAB" w:rsidR="00BD1371" w:rsidRPr="00751099" w:rsidRDefault="00BD1371" w:rsidP="00BD1371">
      <w:pPr>
        <w:rPr>
          <w:rFonts w:ascii="Century Gothic" w:hAnsi="Century Gothic"/>
          <w:sz w:val="20"/>
          <w:szCs w:val="20"/>
        </w:rPr>
      </w:pPr>
      <w:r w:rsidRPr="00BD1371">
        <w:rPr>
          <w:rFonts w:ascii="Century Gothic" w:hAnsi="Century Gothic"/>
          <w:b/>
          <w:bCs/>
          <w:sz w:val="20"/>
          <w:szCs w:val="20"/>
        </w:rPr>
        <w:t>NIC recommend</w:t>
      </w:r>
      <w:r w:rsidRPr="00751099">
        <w:rPr>
          <w:rFonts w:ascii="Century Gothic" w:hAnsi="Century Gothic"/>
          <w:sz w:val="20"/>
          <w:szCs w:val="20"/>
        </w:rPr>
        <w:t xml:space="preserve"> that:</w:t>
      </w:r>
    </w:p>
    <w:p w14:paraId="124A4681" w14:textId="6E2F0A36" w:rsidR="00BD1371" w:rsidRDefault="00BD1371" w:rsidP="00BD1371">
      <w:pPr>
        <w:pStyle w:val="ListParagraph"/>
        <w:numPr>
          <w:ilvl w:val="0"/>
          <w:numId w:val="44"/>
        </w:numPr>
        <w:rPr>
          <w:rFonts w:ascii="Century Gothic" w:hAnsi="Century Gothic"/>
          <w:sz w:val="20"/>
          <w:szCs w:val="20"/>
        </w:rPr>
      </w:pPr>
      <w:r w:rsidRPr="00BD1371">
        <w:rPr>
          <w:rFonts w:ascii="Century Gothic" w:hAnsi="Century Gothic"/>
          <w:sz w:val="20"/>
          <w:szCs w:val="20"/>
        </w:rPr>
        <w:t>The</w:t>
      </w:r>
      <w:r>
        <w:rPr>
          <w:rFonts w:ascii="Century Gothic" w:hAnsi="Century Gothic"/>
          <w:sz w:val="20"/>
          <w:szCs w:val="20"/>
        </w:rPr>
        <w:t xml:space="preserve"> final version of the NWA</w:t>
      </w:r>
      <w:r w:rsidR="00B50E66">
        <w:rPr>
          <w:rFonts w:ascii="Century Gothic" w:hAnsi="Century Gothic"/>
          <w:sz w:val="20"/>
          <w:szCs w:val="20"/>
        </w:rPr>
        <w:t xml:space="preserve"> is published for transparency, to inform this public consultation.</w:t>
      </w:r>
    </w:p>
    <w:p w14:paraId="45FDE58E" w14:textId="642596C3" w:rsidR="00B50E66" w:rsidRPr="00BD1371" w:rsidRDefault="00B50E66" w:rsidP="00BD1371">
      <w:pPr>
        <w:pStyle w:val="ListParagraph"/>
        <w:numPr>
          <w:ilvl w:val="0"/>
          <w:numId w:val="44"/>
        </w:numPr>
        <w:rPr>
          <w:rFonts w:ascii="Century Gothic" w:hAnsi="Century Gothic"/>
          <w:sz w:val="20"/>
          <w:szCs w:val="20"/>
        </w:rPr>
      </w:pPr>
      <w:r>
        <w:rPr>
          <w:rFonts w:ascii="Century Gothic" w:hAnsi="Century Gothic"/>
          <w:sz w:val="20"/>
          <w:szCs w:val="20"/>
        </w:rPr>
        <w:t xml:space="preserve">Any legislative amendments </w:t>
      </w:r>
      <w:r w:rsidR="0005110D">
        <w:rPr>
          <w:rFonts w:ascii="Century Gothic" w:hAnsi="Century Gothic"/>
          <w:sz w:val="20"/>
          <w:szCs w:val="20"/>
        </w:rPr>
        <w:t xml:space="preserve">or review recommendations intended </w:t>
      </w:r>
      <w:r>
        <w:rPr>
          <w:rFonts w:ascii="Century Gothic" w:hAnsi="Century Gothic"/>
          <w:sz w:val="20"/>
          <w:szCs w:val="20"/>
        </w:rPr>
        <w:t>to give effect to a renewed NWI / NWA only occur after the agreement of the States and Territories has been obtained</w:t>
      </w:r>
      <w:r w:rsidR="00F13607">
        <w:rPr>
          <w:rFonts w:ascii="Century Gothic" w:hAnsi="Century Gothic"/>
          <w:sz w:val="20"/>
          <w:szCs w:val="20"/>
        </w:rPr>
        <w:t xml:space="preserve">, to continue the critically important legacy of state cooperation. </w:t>
      </w:r>
    </w:p>
    <w:p w14:paraId="03F56C32" w14:textId="77777777" w:rsidR="005B54BA" w:rsidRPr="005B54BA" w:rsidRDefault="005B54BA" w:rsidP="005B54BA">
      <w:pPr>
        <w:pStyle w:val="Heading2"/>
        <w:rPr>
          <w:rFonts w:ascii="Century Gothic" w:hAnsi="Century Gothic"/>
          <w:sz w:val="28"/>
          <w:szCs w:val="28"/>
        </w:rPr>
      </w:pPr>
      <w:bookmarkStart w:id="7" w:name="_Toc233372726"/>
      <w:r w:rsidRPr="005B54BA">
        <w:rPr>
          <w:rFonts w:ascii="Century Gothic" w:hAnsi="Century Gothic"/>
          <w:sz w:val="28"/>
          <w:szCs w:val="28"/>
        </w:rPr>
        <w:t>The role of the Water Act 2007 (Cth) given state powers</w:t>
      </w:r>
      <w:bookmarkEnd w:id="7"/>
    </w:p>
    <w:p w14:paraId="25ED668D" w14:textId="308AD19B" w:rsidR="00B03FEE" w:rsidRDefault="00B03FEE" w:rsidP="005B54BA">
      <w:pPr>
        <w:rPr>
          <w:rFonts w:ascii="Century Gothic" w:hAnsi="Century Gothic"/>
          <w:sz w:val="20"/>
          <w:szCs w:val="20"/>
        </w:rPr>
      </w:pPr>
      <w:r w:rsidRPr="009D0247">
        <w:rPr>
          <w:rFonts w:ascii="Century Gothic" w:hAnsi="Century Gothic"/>
          <w:sz w:val="20"/>
          <w:szCs w:val="20"/>
        </w:rPr>
        <w:t>The</w:t>
      </w:r>
      <w:r w:rsidRPr="00751099">
        <w:rPr>
          <w:rFonts w:ascii="Century Gothic" w:hAnsi="Century Gothic"/>
          <w:sz w:val="20"/>
          <w:szCs w:val="20"/>
        </w:rPr>
        <w:t xml:space="preserve"> regulatory architecture for water management is complex, and the role of the Water Act 2007, and the Australian Government more broadly, must be considered in this review. A proper understanding of this regulatory architecture is needed to inform an understanding of the status quo</w:t>
      </w:r>
      <w:r w:rsidR="005F4B4E">
        <w:rPr>
          <w:rFonts w:ascii="Century Gothic" w:hAnsi="Century Gothic"/>
          <w:sz w:val="20"/>
          <w:szCs w:val="20"/>
        </w:rPr>
        <w:t xml:space="preserve">, identify the challenges and opportunities, and possible ways forward.  </w:t>
      </w:r>
    </w:p>
    <w:p w14:paraId="5117FF49" w14:textId="29473BFA" w:rsidR="005B54BA" w:rsidRPr="00751099" w:rsidRDefault="005B54BA" w:rsidP="005B54BA">
      <w:pPr>
        <w:rPr>
          <w:rFonts w:ascii="Century Gothic" w:hAnsi="Century Gothic"/>
          <w:sz w:val="20"/>
          <w:szCs w:val="20"/>
        </w:rPr>
      </w:pPr>
      <w:r w:rsidRPr="00751099">
        <w:rPr>
          <w:rFonts w:ascii="Century Gothic" w:hAnsi="Century Gothic"/>
          <w:sz w:val="20"/>
          <w:szCs w:val="20"/>
        </w:rPr>
        <w:t>A complexity</w:t>
      </w:r>
      <w:r>
        <w:rPr>
          <w:rFonts w:ascii="Century Gothic" w:hAnsi="Century Gothic"/>
          <w:sz w:val="20"/>
          <w:szCs w:val="20"/>
        </w:rPr>
        <w:t xml:space="preserve"> for this review</w:t>
      </w:r>
      <w:r w:rsidRPr="00751099">
        <w:rPr>
          <w:rFonts w:ascii="Century Gothic" w:hAnsi="Century Gothic"/>
          <w:sz w:val="20"/>
          <w:szCs w:val="20"/>
        </w:rPr>
        <w:t xml:space="preserve"> is that the Water Act 2007 (Cth) is the federal legislation, whereas water is managed by the </w:t>
      </w:r>
      <w:r w:rsidR="00684EA5">
        <w:rPr>
          <w:rFonts w:ascii="Century Gothic" w:hAnsi="Century Gothic"/>
          <w:sz w:val="20"/>
          <w:szCs w:val="20"/>
        </w:rPr>
        <w:t>S</w:t>
      </w:r>
      <w:r w:rsidRPr="00751099">
        <w:rPr>
          <w:rFonts w:ascii="Century Gothic" w:hAnsi="Century Gothic"/>
          <w:sz w:val="20"/>
          <w:szCs w:val="20"/>
        </w:rPr>
        <w:t>tates</w:t>
      </w:r>
      <w:r w:rsidRPr="00751099">
        <w:rPr>
          <w:rFonts w:ascii="Century Gothic" w:hAnsi="Century Gothic"/>
          <w:sz w:val="20"/>
          <w:szCs w:val="20"/>
        </w:rPr>
        <w:t xml:space="preserve"> (as per the Australian Constitution)</w:t>
      </w:r>
      <w:r w:rsidR="005F4B4E">
        <w:rPr>
          <w:rFonts w:ascii="Century Gothic" w:hAnsi="Century Gothic"/>
          <w:sz w:val="20"/>
          <w:szCs w:val="20"/>
        </w:rPr>
        <w:t>.</w:t>
      </w:r>
      <w:r w:rsidRPr="00751099">
        <w:rPr>
          <w:rFonts w:ascii="Century Gothic" w:hAnsi="Century Gothic"/>
          <w:sz w:val="20"/>
          <w:szCs w:val="20"/>
        </w:rPr>
        <w:t xml:space="preserve"> </w:t>
      </w:r>
      <w:r w:rsidR="005F4B4E">
        <w:rPr>
          <w:rFonts w:ascii="Century Gothic" w:hAnsi="Century Gothic"/>
          <w:sz w:val="20"/>
          <w:szCs w:val="20"/>
        </w:rPr>
        <w:t>Where ‘water rights’ are being considered - t</w:t>
      </w:r>
      <w:r w:rsidRPr="00751099">
        <w:rPr>
          <w:rFonts w:ascii="Century Gothic" w:hAnsi="Century Gothic"/>
          <w:sz w:val="20"/>
          <w:szCs w:val="20"/>
        </w:rPr>
        <w:t xml:space="preserve">he relevant instruments to give effect to Aboriginal rights and interests would typical fall mostly within state legislation and instruments. It would not be typical for the Water Act 2007 (Cth) to be the instrument to create statutory rights – similarly – rights of water access for irrigation are issued by the States. </w:t>
      </w:r>
    </w:p>
    <w:p w14:paraId="20A967AB" w14:textId="54FFE1F2" w:rsidR="005B54BA" w:rsidRPr="00751099" w:rsidRDefault="005B54BA" w:rsidP="005B54BA">
      <w:pPr>
        <w:rPr>
          <w:rFonts w:ascii="Century Gothic" w:hAnsi="Century Gothic"/>
          <w:sz w:val="20"/>
          <w:szCs w:val="20"/>
        </w:rPr>
      </w:pPr>
      <w:r w:rsidRPr="00751099">
        <w:rPr>
          <w:rFonts w:ascii="Century Gothic" w:hAnsi="Century Gothic"/>
          <w:sz w:val="20"/>
          <w:szCs w:val="20"/>
        </w:rPr>
        <w:t xml:space="preserve">Looking at only federal instruments – for a portfolio which is fundamentally managed by the States – will fail to recognise the current landscape. </w:t>
      </w:r>
    </w:p>
    <w:p w14:paraId="1DFABDED" w14:textId="77777777" w:rsidR="005B54BA" w:rsidRPr="00751099" w:rsidRDefault="005B54BA" w:rsidP="005B54BA">
      <w:pPr>
        <w:rPr>
          <w:rFonts w:ascii="Century Gothic" w:hAnsi="Century Gothic"/>
          <w:sz w:val="20"/>
          <w:szCs w:val="20"/>
        </w:rPr>
      </w:pPr>
      <w:r w:rsidRPr="00BD1371">
        <w:rPr>
          <w:rFonts w:ascii="Century Gothic" w:hAnsi="Century Gothic"/>
          <w:b/>
          <w:bCs/>
          <w:sz w:val="20"/>
          <w:szCs w:val="20"/>
        </w:rPr>
        <w:t>NIC recommend</w:t>
      </w:r>
      <w:r w:rsidRPr="00751099">
        <w:rPr>
          <w:rFonts w:ascii="Century Gothic" w:hAnsi="Century Gothic"/>
          <w:sz w:val="20"/>
          <w:szCs w:val="20"/>
        </w:rPr>
        <w:t xml:space="preserve"> that as part of further consultation:</w:t>
      </w:r>
    </w:p>
    <w:p w14:paraId="343D0001" w14:textId="4328DEDD" w:rsidR="00534892" w:rsidRDefault="005B54BA" w:rsidP="00432433">
      <w:pPr>
        <w:pStyle w:val="ListParagraph"/>
        <w:numPr>
          <w:ilvl w:val="0"/>
          <w:numId w:val="37"/>
        </w:numPr>
        <w:rPr>
          <w:rFonts w:ascii="Century Gothic" w:hAnsi="Century Gothic"/>
          <w:sz w:val="20"/>
          <w:szCs w:val="20"/>
        </w:rPr>
      </w:pPr>
      <w:r w:rsidRPr="00751099">
        <w:rPr>
          <w:rFonts w:ascii="Century Gothic" w:hAnsi="Century Gothic"/>
          <w:sz w:val="20"/>
          <w:szCs w:val="20"/>
        </w:rPr>
        <w:lastRenderedPageBreak/>
        <w:t xml:space="preserve">The scope </w:t>
      </w:r>
      <w:r w:rsidR="00BD1371">
        <w:rPr>
          <w:rFonts w:ascii="Century Gothic" w:hAnsi="Century Gothic"/>
          <w:sz w:val="20"/>
          <w:szCs w:val="20"/>
        </w:rPr>
        <w:t xml:space="preserve">and role </w:t>
      </w:r>
      <w:r w:rsidRPr="00751099">
        <w:rPr>
          <w:rFonts w:ascii="Century Gothic" w:hAnsi="Century Gothic"/>
          <w:sz w:val="20"/>
          <w:szCs w:val="20"/>
        </w:rPr>
        <w:t>of the Water Act 2007 in this domain is clearly identified, specifically, what is within scope of Commonwealth legislation, and that of state legislation and regulations.</w:t>
      </w:r>
    </w:p>
    <w:p w14:paraId="15EAC85F" w14:textId="5A0835C9" w:rsidR="00CF2809" w:rsidRDefault="00CF2809" w:rsidP="00CF2809">
      <w:pPr>
        <w:rPr>
          <w:rFonts w:ascii="Century Gothic" w:hAnsi="Century Gothic"/>
          <w:sz w:val="20"/>
          <w:szCs w:val="20"/>
        </w:rPr>
      </w:pPr>
      <w:r>
        <w:rPr>
          <w:rFonts w:ascii="Century Gothic" w:hAnsi="Century Gothic"/>
          <w:sz w:val="20"/>
          <w:szCs w:val="20"/>
        </w:rPr>
        <w:t xml:space="preserve">In assessing scope, it will also be important to look at the role of legislation, versus non-statutory approaches. Many of the issues raised appear to be not necessarily those requiring a legislative solution – rather improved delivery on existing legislation, improvements or expansion of programs, increased funding to programs, or greater involvement. </w:t>
      </w:r>
    </w:p>
    <w:p w14:paraId="3755C5ED" w14:textId="77777777" w:rsidR="004C16D5" w:rsidRPr="00751099" w:rsidRDefault="004C16D5" w:rsidP="004C16D5">
      <w:pPr>
        <w:rPr>
          <w:rFonts w:ascii="Century Gothic" w:hAnsi="Century Gothic"/>
          <w:sz w:val="20"/>
          <w:szCs w:val="20"/>
        </w:rPr>
      </w:pPr>
      <w:r w:rsidRPr="00BD1371">
        <w:rPr>
          <w:rFonts w:ascii="Century Gothic" w:hAnsi="Century Gothic"/>
          <w:b/>
          <w:bCs/>
          <w:sz w:val="20"/>
          <w:szCs w:val="20"/>
        </w:rPr>
        <w:t>NIC recommend</w:t>
      </w:r>
      <w:r w:rsidRPr="00751099">
        <w:rPr>
          <w:rFonts w:ascii="Century Gothic" w:hAnsi="Century Gothic"/>
          <w:sz w:val="20"/>
          <w:szCs w:val="20"/>
        </w:rPr>
        <w:t xml:space="preserve"> that as part of further consultation:</w:t>
      </w:r>
    </w:p>
    <w:p w14:paraId="13CF253A" w14:textId="6115A923" w:rsidR="00CF2809" w:rsidRPr="00BC6CE4" w:rsidRDefault="004C16D5" w:rsidP="00CF2809">
      <w:pPr>
        <w:pStyle w:val="ListParagraph"/>
        <w:numPr>
          <w:ilvl w:val="0"/>
          <w:numId w:val="37"/>
        </w:numPr>
        <w:rPr>
          <w:rFonts w:ascii="Century Gothic" w:hAnsi="Century Gothic"/>
          <w:sz w:val="20"/>
          <w:szCs w:val="20"/>
        </w:rPr>
      </w:pPr>
      <w:r w:rsidRPr="004C16D5">
        <w:rPr>
          <w:rFonts w:ascii="Century Gothic" w:hAnsi="Century Gothic"/>
          <w:sz w:val="20"/>
          <w:szCs w:val="20"/>
        </w:rPr>
        <w:t xml:space="preserve">The </w:t>
      </w:r>
      <w:r>
        <w:rPr>
          <w:rFonts w:ascii="Century Gothic" w:hAnsi="Century Gothic"/>
          <w:sz w:val="20"/>
          <w:szCs w:val="20"/>
        </w:rPr>
        <w:t xml:space="preserve">role of both legislative and non-legislative pathways forward is explored. </w:t>
      </w:r>
    </w:p>
    <w:p w14:paraId="65A1EF79" w14:textId="3A0CCB9A" w:rsidR="00173ED1" w:rsidRPr="00751099" w:rsidRDefault="00802D77" w:rsidP="00C315CE">
      <w:pPr>
        <w:pStyle w:val="Heading2"/>
        <w:rPr>
          <w:rFonts w:ascii="Century Gothic" w:hAnsi="Century Gothic"/>
          <w:sz w:val="28"/>
          <w:szCs w:val="28"/>
        </w:rPr>
      </w:pPr>
      <w:bookmarkStart w:id="8" w:name="_Toc233372727"/>
      <w:r w:rsidRPr="00751099">
        <w:rPr>
          <w:rFonts w:ascii="Century Gothic" w:hAnsi="Century Gothic"/>
          <w:sz w:val="28"/>
          <w:szCs w:val="28"/>
        </w:rPr>
        <w:t>Status</w:t>
      </w:r>
      <w:r w:rsidR="00173ED1" w:rsidRPr="00751099">
        <w:rPr>
          <w:rFonts w:ascii="Century Gothic" w:hAnsi="Century Gothic"/>
          <w:sz w:val="28"/>
          <w:szCs w:val="28"/>
        </w:rPr>
        <w:t xml:space="preserve"> of indigenous water rights</w:t>
      </w:r>
      <w:bookmarkEnd w:id="8"/>
    </w:p>
    <w:p w14:paraId="320014EF" w14:textId="45CF3E05" w:rsidR="006356CF" w:rsidRPr="00751099" w:rsidRDefault="00173ED1" w:rsidP="00173ED1">
      <w:pPr>
        <w:rPr>
          <w:rFonts w:ascii="Century Gothic" w:hAnsi="Century Gothic"/>
          <w:sz w:val="20"/>
          <w:szCs w:val="20"/>
        </w:rPr>
      </w:pPr>
      <w:r w:rsidRPr="00751099">
        <w:rPr>
          <w:rFonts w:ascii="Century Gothic" w:hAnsi="Century Gothic"/>
          <w:sz w:val="20"/>
          <w:szCs w:val="20"/>
        </w:rPr>
        <w:t xml:space="preserve">NIC </w:t>
      </w:r>
      <w:r w:rsidR="00DE743F" w:rsidRPr="00751099">
        <w:rPr>
          <w:rFonts w:ascii="Century Gothic" w:hAnsi="Century Gothic"/>
          <w:sz w:val="20"/>
          <w:szCs w:val="20"/>
        </w:rPr>
        <w:t xml:space="preserve">was disappointed to see the Discussion Paper failed to accurately describe the </w:t>
      </w:r>
      <w:r w:rsidR="00802D77" w:rsidRPr="00751099">
        <w:rPr>
          <w:rFonts w:ascii="Century Gothic" w:hAnsi="Century Gothic"/>
          <w:sz w:val="20"/>
          <w:szCs w:val="20"/>
        </w:rPr>
        <w:t>status</w:t>
      </w:r>
      <w:r w:rsidR="00DE743F" w:rsidRPr="00751099">
        <w:rPr>
          <w:rFonts w:ascii="Century Gothic" w:hAnsi="Century Gothic"/>
          <w:sz w:val="20"/>
          <w:szCs w:val="20"/>
        </w:rPr>
        <w:t xml:space="preserve"> and nature of Indigenous rights to water. This is not to say that</w:t>
      </w:r>
      <w:r w:rsidR="00173B2C" w:rsidRPr="00751099">
        <w:rPr>
          <w:rFonts w:ascii="Century Gothic" w:hAnsi="Century Gothic"/>
          <w:sz w:val="20"/>
          <w:szCs w:val="20"/>
        </w:rPr>
        <w:t xml:space="preserve"> there is no space for improvements, rather, that any change must be buil</w:t>
      </w:r>
      <w:r w:rsidR="003C02DA" w:rsidRPr="00751099">
        <w:rPr>
          <w:rFonts w:ascii="Century Gothic" w:hAnsi="Century Gothic"/>
          <w:sz w:val="20"/>
          <w:szCs w:val="20"/>
        </w:rPr>
        <w:t>t</w:t>
      </w:r>
      <w:r w:rsidR="00173B2C" w:rsidRPr="00751099">
        <w:rPr>
          <w:rFonts w:ascii="Century Gothic" w:hAnsi="Century Gothic"/>
          <w:sz w:val="20"/>
          <w:szCs w:val="20"/>
        </w:rPr>
        <w:t xml:space="preserve"> on an evidence-based and factual understanding of the status quo</w:t>
      </w:r>
      <w:r w:rsidR="009819BA" w:rsidRPr="00751099">
        <w:rPr>
          <w:rFonts w:ascii="Century Gothic" w:hAnsi="Century Gothic"/>
          <w:sz w:val="20"/>
          <w:szCs w:val="20"/>
        </w:rPr>
        <w:t xml:space="preserve">, and an accurately </w:t>
      </w:r>
      <w:r w:rsidR="00886966">
        <w:rPr>
          <w:rFonts w:ascii="Century Gothic" w:hAnsi="Century Gothic"/>
          <w:sz w:val="20"/>
          <w:szCs w:val="20"/>
        </w:rPr>
        <w:t>identified</w:t>
      </w:r>
      <w:r w:rsidR="009819BA" w:rsidRPr="00751099">
        <w:rPr>
          <w:rFonts w:ascii="Century Gothic" w:hAnsi="Century Gothic"/>
          <w:sz w:val="20"/>
          <w:szCs w:val="20"/>
        </w:rPr>
        <w:t xml:space="preserve"> problem-definition. </w:t>
      </w:r>
    </w:p>
    <w:p w14:paraId="350F2127" w14:textId="77777777" w:rsidR="00342681" w:rsidRPr="00751099" w:rsidRDefault="00342681" w:rsidP="00342681">
      <w:pPr>
        <w:rPr>
          <w:rFonts w:ascii="Century Gothic" w:hAnsi="Century Gothic"/>
          <w:sz w:val="20"/>
          <w:szCs w:val="20"/>
        </w:rPr>
      </w:pPr>
      <w:r w:rsidRPr="00751099">
        <w:rPr>
          <w:rFonts w:ascii="Century Gothic" w:hAnsi="Century Gothic"/>
          <w:sz w:val="20"/>
          <w:szCs w:val="20"/>
        </w:rPr>
        <w:t xml:space="preserve">The Discussion Paper says: </w:t>
      </w:r>
      <w:r w:rsidRPr="00751099">
        <w:rPr>
          <w:rFonts w:ascii="Century Gothic" w:hAnsi="Century Gothic"/>
          <w:i/>
          <w:iCs/>
          <w:sz w:val="20"/>
          <w:szCs w:val="20"/>
        </w:rPr>
        <w:t xml:space="preserve">“When the Water Act was developed, it did not take into account Aboriginal and Torres Strait Islander peoples’ water rights or interests in the management of water.” </w:t>
      </w:r>
      <w:r w:rsidRPr="00751099">
        <w:rPr>
          <w:rFonts w:ascii="Century Gothic" w:hAnsi="Century Gothic"/>
          <w:sz w:val="20"/>
          <w:szCs w:val="20"/>
        </w:rPr>
        <w:t xml:space="preserve">This is not correct. </w:t>
      </w:r>
    </w:p>
    <w:p w14:paraId="20779AB4" w14:textId="77777777" w:rsidR="00342681" w:rsidRPr="00751099" w:rsidRDefault="00342681" w:rsidP="00342681">
      <w:pPr>
        <w:rPr>
          <w:rFonts w:ascii="Century Gothic" w:hAnsi="Century Gothic"/>
          <w:sz w:val="20"/>
          <w:szCs w:val="20"/>
        </w:rPr>
      </w:pPr>
      <w:r w:rsidRPr="00751099">
        <w:rPr>
          <w:rFonts w:ascii="Century Gothic" w:hAnsi="Century Gothic"/>
          <w:sz w:val="20"/>
          <w:szCs w:val="20"/>
        </w:rPr>
        <w:t>In our understanding, the issue is not that the legislation does not take this into account, it is:</w:t>
      </w:r>
    </w:p>
    <w:p w14:paraId="2776B473" w14:textId="1DCD3AD6" w:rsidR="00342681" w:rsidRPr="00751099" w:rsidRDefault="00342681" w:rsidP="00342681">
      <w:pPr>
        <w:pStyle w:val="ListParagraph"/>
        <w:numPr>
          <w:ilvl w:val="0"/>
          <w:numId w:val="38"/>
        </w:numPr>
        <w:rPr>
          <w:rFonts w:ascii="Century Gothic" w:hAnsi="Century Gothic"/>
          <w:sz w:val="20"/>
          <w:szCs w:val="20"/>
        </w:rPr>
      </w:pPr>
      <w:r w:rsidRPr="00751099">
        <w:rPr>
          <w:rFonts w:ascii="Century Gothic" w:hAnsi="Century Gothic"/>
          <w:sz w:val="20"/>
          <w:szCs w:val="20"/>
        </w:rPr>
        <w:t xml:space="preserve">The primary instruments to give effect to Aboriginal rights and interests in water is mostly within </w:t>
      </w:r>
      <w:r w:rsidR="00A43EFB">
        <w:rPr>
          <w:rFonts w:ascii="Century Gothic" w:hAnsi="Century Gothic"/>
          <w:sz w:val="20"/>
          <w:szCs w:val="20"/>
        </w:rPr>
        <w:t>S</w:t>
      </w:r>
      <w:r w:rsidRPr="00751099">
        <w:rPr>
          <w:rFonts w:ascii="Century Gothic" w:hAnsi="Century Gothic"/>
          <w:sz w:val="20"/>
          <w:szCs w:val="20"/>
        </w:rPr>
        <w:t xml:space="preserve">tate legislation and instruments – </w:t>
      </w:r>
      <w:r w:rsidR="00A71303">
        <w:rPr>
          <w:rFonts w:ascii="Century Gothic" w:hAnsi="Century Gothic"/>
          <w:sz w:val="20"/>
          <w:szCs w:val="20"/>
        </w:rPr>
        <w:t>as</w:t>
      </w:r>
      <w:r w:rsidRPr="00751099">
        <w:rPr>
          <w:rFonts w:ascii="Century Gothic" w:hAnsi="Century Gothic"/>
          <w:sz w:val="20"/>
          <w:szCs w:val="20"/>
        </w:rPr>
        <w:t xml:space="preserve"> water is managed by States (as per the Australian Constitution), and any rights or entitlements (to any party) are issued by the State</w:t>
      </w:r>
      <w:r w:rsidR="00A71303">
        <w:rPr>
          <w:rFonts w:ascii="Century Gothic" w:hAnsi="Century Gothic"/>
          <w:sz w:val="20"/>
          <w:szCs w:val="20"/>
        </w:rPr>
        <w:t>s</w:t>
      </w:r>
      <w:r w:rsidRPr="00751099">
        <w:rPr>
          <w:rFonts w:ascii="Century Gothic" w:hAnsi="Century Gothic"/>
          <w:sz w:val="20"/>
          <w:szCs w:val="20"/>
        </w:rPr>
        <w:t xml:space="preserve">; </w:t>
      </w:r>
    </w:p>
    <w:p w14:paraId="0FF55714" w14:textId="087DA85C" w:rsidR="00342681" w:rsidRDefault="00342681" w:rsidP="00342681">
      <w:pPr>
        <w:pStyle w:val="ListParagraph"/>
        <w:numPr>
          <w:ilvl w:val="0"/>
          <w:numId w:val="38"/>
        </w:numPr>
        <w:rPr>
          <w:rFonts w:ascii="Century Gothic" w:hAnsi="Century Gothic"/>
          <w:sz w:val="20"/>
          <w:szCs w:val="20"/>
        </w:rPr>
      </w:pPr>
      <w:r w:rsidRPr="00751099">
        <w:rPr>
          <w:rFonts w:ascii="Century Gothic" w:hAnsi="Century Gothic"/>
          <w:sz w:val="20"/>
          <w:szCs w:val="20"/>
        </w:rPr>
        <w:t xml:space="preserve">There has not been the same degree of investment in programs to deliver upon </w:t>
      </w:r>
      <w:r w:rsidR="00A71303">
        <w:rPr>
          <w:rFonts w:ascii="Century Gothic" w:hAnsi="Century Gothic"/>
          <w:sz w:val="20"/>
          <w:szCs w:val="20"/>
        </w:rPr>
        <w:t xml:space="preserve">or implement </w:t>
      </w:r>
      <w:r w:rsidRPr="00751099">
        <w:rPr>
          <w:rFonts w:ascii="Century Gothic" w:hAnsi="Century Gothic"/>
          <w:sz w:val="20"/>
          <w:szCs w:val="20"/>
        </w:rPr>
        <w:t>the objects of the legislation – for example,</w:t>
      </w:r>
      <w:r w:rsidR="00A71303">
        <w:rPr>
          <w:rFonts w:ascii="Century Gothic" w:hAnsi="Century Gothic"/>
          <w:sz w:val="20"/>
          <w:szCs w:val="20"/>
        </w:rPr>
        <w:t xml:space="preserve"> as a case study,</w:t>
      </w:r>
      <w:r w:rsidRPr="00751099">
        <w:rPr>
          <w:rFonts w:ascii="Century Gothic" w:hAnsi="Century Gothic"/>
          <w:sz w:val="20"/>
          <w:szCs w:val="20"/>
        </w:rPr>
        <w:t xml:space="preserve"> focus of</w:t>
      </w:r>
      <w:r w:rsidR="00A71303">
        <w:rPr>
          <w:rFonts w:ascii="Century Gothic" w:hAnsi="Century Gothic"/>
          <w:sz w:val="20"/>
          <w:szCs w:val="20"/>
        </w:rPr>
        <w:t xml:space="preserve"> the</w:t>
      </w:r>
      <w:r w:rsidRPr="00751099">
        <w:rPr>
          <w:rFonts w:ascii="Century Gothic" w:hAnsi="Century Gothic"/>
          <w:sz w:val="20"/>
          <w:szCs w:val="20"/>
        </w:rPr>
        <w:t xml:space="preserve"> multi-billion dollar Basin Plan has been recovering water volumes from the consumptive pool for the Commonwealth Environmental Water Holder</w:t>
      </w:r>
      <w:r w:rsidR="00A71303">
        <w:rPr>
          <w:rFonts w:ascii="Century Gothic" w:hAnsi="Century Gothic"/>
          <w:sz w:val="20"/>
          <w:szCs w:val="20"/>
        </w:rPr>
        <w:t xml:space="preserve"> (CEWH)</w:t>
      </w:r>
      <w:r w:rsidRPr="00751099">
        <w:rPr>
          <w:rFonts w:ascii="Century Gothic" w:hAnsi="Century Gothic"/>
          <w:sz w:val="20"/>
          <w:szCs w:val="20"/>
        </w:rPr>
        <w:t>, with a significantly lesser focus on targeted cultural programs</w:t>
      </w:r>
      <w:r w:rsidR="00A71303">
        <w:rPr>
          <w:rFonts w:ascii="Century Gothic" w:hAnsi="Century Gothic"/>
          <w:sz w:val="20"/>
          <w:szCs w:val="20"/>
        </w:rPr>
        <w:t xml:space="preserve"> (they have existed but to a much lesser extent, and only recently increased in focus)</w:t>
      </w:r>
      <w:r w:rsidR="00E75F39">
        <w:rPr>
          <w:rFonts w:ascii="Century Gothic" w:hAnsi="Century Gothic"/>
          <w:sz w:val="20"/>
          <w:szCs w:val="20"/>
        </w:rPr>
        <w:t xml:space="preserve">.  This </w:t>
      </w:r>
      <w:r w:rsidR="00802D77">
        <w:rPr>
          <w:rFonts w:ascii="Century Gothic" w:hAnsi="Century Gothic"/>
          <w:sz w:val="20"/>
          <w:szCs w:val="20"/>
        </w:rPr>
        <w:t>reflects</w:t>
      </w:r>
      <w:r w:rsidR="00E75F39">
        <w:rPr>
          <w:rFonts w:ascii="Century Gothic" w:hAnsi="Century Gothic"/>
          <w:sz w:val="20"/>
          <w:szCs w:val="20"/>
        </w:rPr>
        <w:t xml:space="preserve"> the focus of that period of reform</w:t>
      </w:r>
      <w:r w:rsidR="000E4FD5">
        <w:rPr>
          <w:rFonts w:ascii="Century Gothic" w:hAnsi="Century Gothic"/>
          <w:sz w:val="20"/>
          <w:szCs w:val="20"/>
        </w:rPr>
        <w:t xml:space="preserve"> being the issue of sustainability</w:t>
      </w:r>
      <w:r w:rsidR="005B0AE3">
        <w:rPr>
          <w:rFonts w:ascii="Century Gothic" w:hAnsi="Century Gothic"/>
          <w:sz w:val="20"/>
          <w:szCs w:val="20"/>
        </w:rPr>
        <w:t>;</w:t>
      </w:r>
    </w:p>
    <w:p w14:paraId="7B2D362B" w14:textId="3A7ABF04" w:rsidR="005B0AE3" w:rsidRPr="00751099" w:rsidRDefault="005B0AE3" w:rsidP="00342681">
      <w:pPr>
        <w:pStyle w:val="ListParagraph"/>
        <w:numPr>
          <w:ilvl w:val="0"/>
          <w:numId w:val="38"/>
        </w:numPr>
        <w:rPr>
          <w:rFonts w:ascii="Century Gothic" w:hAnsi="Century Gothic"/>
          <w:sz w:val="20"/>
          <w:szCs w:val="20"/>
        </w:rPr>
      </w:pPr>
      <w:r>
        <w:rPr>
          <w:rFonts w:ascii="Century Gothic" w:hAnsi="Century Gothic"/>
          <w:sz w:val="20"/>
          <w:szCs w:val="20"/>
        </w:rPr>
        <w:t xml:space="preserve">There </w:t>
      </w:r>
      <w:r w:rsidR="00DE5664">
        <w:rPr>
          <w:rFonts w:ascii="Century Gothic" w:hAnsi="Century Gothic"/>
          <w:sz w:val="20"/>
          <w:szCs w:val="20"/>
        </w:rPr>
        <w:t>have</w:t>
      </w:r>
      <w:r>
        <w:rPr>
          <w:rFonts w:ascii="Century Gothic" w:hAnsi="Century Gothic"/>
          <w:sz w:val="20"/>
          <w:szCs w:val="20"/>
        </w:rPr>
        <w:t xml:space="preserve"> been several challenges with established First Nations representative </w:t>
      </w:r>
      <w:r w:rsidR="004F5D54">
        <w:rPr>
          <w:rFonts w:ascii="Century Gothic" w:hAnsi="Century Gothic"/>
          <w:sz w:val="20"/>
          <w:szCs w:val="20"/>
        </w:rPr>
        <w:t>/ governance</w:t>
      </w:r>
      <w:r>
        <w:rPr>
          <w:rFonts w:ascii="Century Gothic" w:hAnsi="Century Gothic"/>
          <w:sz w:val="20"/>
          <w:szCs w:val="20"/>
        </w:rPr>
        <w:t xml:space="preserve"> arrangement</w:t>
      </w:r>
      <w:r w:rsidR="00DE5664">
        <w:rPr>
          <w:rFonts w:ascii="Century Gothic" w:hAnsi="Century Gothic"/>
          <w:sz w:val="20"/>
          <w:szCs w:val="20"/>
        </w:rPr>
        <w:t>s and</w:t>
      </w:r>
      <w:r>
        <w:rPr>
          <w:rFonts w:ascii="Century Gothic" w:hAnsi="Century Gothic"/>
          <w:sz w:val="20"/>
          <w:szCs w:val="20"/>
        </w:rPr>
        <w:t xml:space="preserve"> models</w:t>
      </w:r>
      <w:r w:rsidR="00DE5664">
        <w:rPr>
          <w:rFonts w:ascii="Century Gothic" w:hAnsi="Century Gothic"/>
          <w:sz w:val="20"/>
          <w:szCs w:val="20"/>
        </w:rPr>
        <w:t xml:space="preserve"> which</w:t>
      </w:r>
      <w:r w:rsidR="00A43EFB">
        <w:rPr>
          <w:rFonts w:ascii="Century Gothic" w:hAnsi="Century Gothic"/>
          <w:sz w:val="20"/>
          <w:szCs w:val="20"/>
        </w:rPr>
        <w:t xml:space="preserve"> has understandably led to dissatisfaction</w:t>
      </w:r>
      <w:r>
        <w:rPr>
          <w:rFonts w:ascii="Century Gothic" w:hAnsi="Century Gothic"/>
          <w:sz w:val="20"/>
          <w:szCs w:val="20"/>
        </w:rPr>
        <w:t xml:space="preserve"> (as explored later). </w:t>
      </w:r>
    </w:p>
    <w:p w14:paraId="0065291B" w14:textId="77777777" w:rsidR="008B0A09" w:rsidRDefault="00342681" w:rsidP="008B0A09">
      <w:pPr>
        <w:rPr>
          <w:rFonts w:ascii="Century Gothic" w:hAnsi="Century Gothic"/>
          <w:sz w:val="20"/>
          <w:szCs w:val="20"/>
        </w:rPr>
      </w:pPr>
      <w:r w:rsidRPr="00751099">
        <w:rPr>
          <w:rFonts w:ascii="Century Gothic" w:hAnsi="Century Gothic"/>
          <w:sz w:val="20"/>
          <w:szCs w:val="20"/>
        </w:rPr>
        <w:t xml:space="preserve">It is appreciated that many First Nations peoples feel implementation has not addressed </w:t>
      </w:r>
      <w:r w:rsidR="00374E90" w:rsidRPr="00751099">
        <w:rPr>
          <w:rFonts w:ascii="Century Gothic" w:hAnsi="Century Gothic"/>
          <w:sz w:val="20"/>
          <w:szCs w:val="20"/>
        </w:rPr>
        <w:t>their</w:t>
      </w:r>
      <w:r w:rsidRPr="00751099">
        <w:rPr>
          <w:rFonts w:ascii="Century Gothic" w:hAnsi="Century Gothic"/>
          <w:sz w:val="20"/>
          <w:szCs w:val="20"/>
        </w:rPr>
        <w:t xml:space="preserve"> rights or interests</w:t>
      </w:r>
      <w:r w:rsidR="008F176D" w:rsidRPr="00751099">
        <w:rPr>
          <w:rFonts w:ascii="Century Gothic" w:hAnsi="Century Gothic"/>
          <w:sz w:val="20"/>
          <w:szCs w:val="20"/>
        </w:rPr>
        <w:t xml:space="preserve"> – </w:t>
      </w:r>
      <w:r w:rsidR="00DE5664">
        <w:rPr>
          <w:rFonts w:ascii="Century Gothic" w:hAnsi="Century Gothic"/>
          <w:sz w:val="20"/>
          <w:szCs w:val="20"/>
        </w:rPr>
        <w:t>these points are</w:t>
      </w:r>
      <w:r w:rsidR="000251D4">
        <w:rPr>
          <w:rFonts w:ascii="Century Gothic" w:hAnsi="Century Gothic"/>
          <w:sz w:val="20"/>
          <w:szCs w:val="20"/>
        </w:rPr>
        <w:t xml:space="preserve"> not to dismiss that – rather, to emphasise that </w:t>
      </w:r>
      <w:r w:rsidR="008F176D" w:rsidRPr="00751099">
        <w:rPr>
          <w:rFonts w:ascii="Century Gothic" w:hAnsi="Century Gothic"/>
          <w:sz w:val="20"/>
          <w:szCs w:val="20"/>
        </w:rPr>
        <w:t>properly understanding the status quo is critical to moving forwards</w:t>
      </w:r>
      <w:r w:rsidR="000251D4">
        <w:rPr>
          <w:rFonts w:ascii="Century Gothic" w:hAnsi="Century Gothic"/>
          <w:sz w:val="20"/>
          <w:szCs w:val="20"/>
        </w:rPr>
        <w:t xml:space="preserve"> in a way that realises actual improvements. </w:t>
      </w:r>
    </w:p>
    <w:p w14:paraId="4FEAC8A8" w14:textId="11211823" w:rsidR="009D0247" w:rsidRDefault="008B0A09" w:rsidP="00173ED1">
      <w:pPr>
        <w:rPr>
          <w:rFonts w:ascii="Century Gothic" w:hAnsi="Century Gothic"/>
          <w:sz w:val="20"/>
          <w:szCs w:val="20"/>
        </w:rPr>
      </w:pPr>
      <w:r>
        <w:rPr>
          <w:rFonts w:ascii="Century Gothic" w:hAnsi="Century Gothic"/>
          <w:sz w:val="20"/>
          <w:szCs w:val="20"/>
        </w:rPr>
        <w:t>The below section seeks to capture some (not all), of the current arrangements – at both a commonwealth and state level – to assist in reflecting this status quo</w:t>
      </w:r>
      <w:r w:rsidR="00D91812">
        <w:rPr>
          <w:rFonts w:ascii="Century Gothic" w:hAnsi="Century Gothic"/>
          <w:sz w:val="20"/>
          <w:szCs w:val="20"/>
        </w:rPr>
        <w:t xml:space="preserve">. </w:t>
      </w:r>
    </w:p>
    <w:p w14:paraId="1057352B" w14:textId="52AC0C02" w:rsidR="001622DA" w:rsidRPr="00751099" w:rsidRDefault="001622DA" w:rsidP="001622DA">
      <w:pPr>
        <w:pStyle w:val="Heading3"/>
        <w:rPr>
          <w:rFonts w:ascii="Century Gothic" w:hAnsi="Century Gothic"/>
          <w:sz w:val="24"/>
          <w:szCs w:val="24"/>
        </w:rPr>
      </w:pPr>
      <w:bookmarkStart w:id="9" w:name="_Toc233372728"/>
      <w:r w:rsidRPr="00751099">
        <w:rPr>
          <w:rFonts w:ascii="Century Gothic" w:hAnsi="Century Gothic"/>
          <w:sz w:val="24"/>
          <w:szCs w:val="24"/>
        </w:rPr>
        <w:t xml:space="preserve">Indigenous water rights and interests at the </w:t>
      </w:r>
      <w:r w:rsidR="00246119">
        <w:rPr>
          <w:rFonts w:ascii="Century Gothic" w:hAnsi="Century Gothic"/>
          <w:sz w:val="24"/>
          <w:szCs w:val="24"/>
        </w:rPr>
        <w:t>Commonwealth</w:t>
      </w:r>
      <w:r w:rsidRPr="00751099">
        <w:rPr>
          <w:rFonts w:ascii="Century Gothic" w:hAnsi="Century Gothic"/>
          <w:sz w:val="24"/>
          <w:szCs w:val="24"/>
        </w:rPr>
        <w:t xml:space="preserve"> level</w:t>
      </w:r>
      <w:bookmarkEnd w:id="9"/>
    </w:p>
    <w:p w14:paraId="5F3F63CF" w14:textId="766A6432" w:rsidR="008F176D" w:rsidRPr="00751099" w:rsidRDefault="004F5D54" w:rsidP="008F176D">
      <w:pPr>
        <w:rPr>
          <w:rFonts w:ascii="Century Gothic" w:hAnsi="Century Gothic"/>
          <w:sz w:val="20"/>
          <w:szCs w:val="20"/>
        </w:rPr>
      </w:pPr>
      <w:r>
        <w:rPr>
          <w:rFonts w:ascii="Century Gothic" w:hAnsi="Century Gothic"/>
          <w:sz w:val="20"/>
          <w:szCs w:val="20"/>
        </w:rPr>
        <w:t>This section</w:t>
      </w:r>
      <w:r w:rsidR="008F176D" w:rsidRPr="00751099">
        <w:rPr>
          <w:rFonts w:ascii="Century Gothic" w:hAnsi="Century Gothic"/>
          <w:sz w:val="20"/>
          <w:szCs w:val="20"/>
        </w:rPr>
        <w:t xml:space="preserve"> </w:t>
      </w:r>
      <w:r w:rsidR="00DE5664">
        <w:rPr>
          <w:rFonts w:ascii="Century Gothic" w:hAnsi="Century Gothic"/>
          <w:sz w:val="20"/>
          <w:szCs w:val="20"/>
        </w:rPr>
        <w:t>outlines</w:t>
      </w:r>
      <w:r w:rsidR="008F176D" w:rsidRPr="00751099">
        <w:rPr>
          <w:rFonts w:ascii="Century Gothic" w:hAnsi="Century Gothic"/>
          <w:sz w:val="20"/>
          <w:szCs w:val="20"/>
        </w:rPr>
        <w:t xml:space="preserve"> </w:t>
      </w:r>
      <w:r w:rsidR="00DE4BE9" w:rsidRPr="00751099">
        <w:rPr>
          <w:rFonts w:ascii="Century Gothic" w:hAnsi="Century Gothic"/>
          <w:sz w:val="20"/>
          <w:szCs w:val="20"/>
        </w:rPr>
        <w:t>some of the</w:t>
      </w:r>
      <w:r w:rsidR="008F176D" w:rsidRPr="00751099">
        <w:rPr>
          <w:rFonts w:ascii="Century Gothic" w:hAnsi="Century Gothic"/>
          <w:sz w:val="20"/>
          <w:szCs w:val="20"/>
        </w:rPr>
        <w:t xml:space="preserve"> current </w:t>
      </w:r>
      <w:r w:rsidR="00DE4BE9" w:rsidRPr="00751099">
        <w:rPr>
          <w:rFonts w:ascii="Century Gothic" w:hAnsi="Century Gothic"/>
          <w:sz w:val="20"/>
          <w:szCs w:val="20"/>
        </w:rPr>
        <w:t xml:space="preserve">arrangements in place at a </w:t>
      </w:r>
      <w:r w:rsidR="00C20C25">
        <w:rPr>
          <w:rFonts w:ascii="Century Gothic" w:hAnsi="Century Gothic"/>
          <w:sz w:val="20"/>
          <w:szCs w:val="20"/>
        </w:rPr>
        <w:t>Commonwealth</w:t>
      </w:r>
      <w:r w:rsidR="00DE4BE9" w:rsidRPr="00751099">
        <w:rPr>
          <w:rFonts w:ascii="Century Gothic" w:hAnsi="Century Gothic"/>
          <w:sz w:val="20"/>
          <w:szCs w:val="20"/>
        </w:rPr>
        <w:t xml:space="preserve"> level. </w:t>
      </w:r>
    </w:p>
    <w:tbl>
      <w:tblPr>
        <w:tblStyle w:val="TableGrid"/>
        <w:tblW w:w="0" w:type="auto"/>
        <w:tblLook w:val="04A0" w:firstRow="1" w:lastRow="0" w:firstColumn="1" w:lastColumn="0" w:noHBand="0" w:noVBand="1"/>
      </w:tblPr>
      <w:tblGrid>
        <w:gridCol w:w="9016"/>
      </w:tblGrid>
      <w:tr w:rsidR="002C0DD1" w:rsidRPr="00751099" w14:paraId="3C1BE61B" w14:textId="77777777" w:rsidTr="00016700">
        <w:tc>
          <w:tcPr>
            <w:tcW w:w="9016" w:type="dxa"/>
            <w:shd w:val="clear" w:color="auto" w:fill="F2F2F2" w:themeFill="background1" w:themeFillShade="F2"/>
          </w:tcPr>
          <w:p w14:paraId="7BD03C84" w14:textId="77777777" w:rsidR="002C0DD1" w:rsidRPr="00751099" w:rsidRDefault="002C0DD1" w:rsidP="002C0DD1">
            <w:pPr>
              <w:rPr>
                <w:rFonts w:ascii="Century Gothic" w:hAnsi="Century Gothic"/>
                <w:b/>
                <w:bCs/>
                <w:sz w:val="20"/>
                <w:szCs w:val="20"/>
                <w:u w:val="single"/>
              </w:rPr>
            </w:pPr>
            <w:r w:rsidRPr="00751099">
              <w:rPr>
                <w:rFonts w:ascii="Century Gothic" w:hAnsi="Century Gothic"/>
                <w:b/>
                <w:bCs/>
                <w:sz w:val="20"/>
                <w:szCs w:val="20"/>
                <w:u w:val="single"/>
              </w:rPr>
              <w:t xml:space="preserve">National Water Initiative </w:t>
            </w:r>
          </w:p>
          <w:p w14:paraId="7EAE9D5E" w14:textId="77777777" w:rsidR="002C0DD1" w:rsidRPr="00751099" w:rsidRDefault="002C0DD1" w:rsidP="002C0DD1">
            <w:pPr>
              <w:rPr>
                <w:rFonts w:ascii="Century Gothic" w:hAnsi="Century Gothic"/>
                <w:i/>
                <w:iCs/>
                <w:sz w:val="20"/>
                <w:szCs w:val="20"/>
              </w:rPr>
            </w:pPr>
            <w:r w:rsidRPr="00751099">
              <w:rPr>
                <w:rFonts w:ascii="Century Gothic" w:hAnsi="Century Gothic"/>
                <w:sz w:val="20"/>
                <w:szCs w:val="20"/>
              </w:rPr>
              <w:t xml:space="preserve">25 </w:t>
            </w:r>
            <w:r w:rsidRPr="00751099">
              <w:rPr>
                <w:rFonts w:ascii="Century Gothic" w:hAnsi="Century Gothic"/>
                <w:i/>
                <w:iCs/>
                <w:sz w:val="20"/>
                <w:szCs w:val="20"/>
              </w:rPr>
              <w:t>“The Parties agree that, once initiated, their water access entitlements and planning frameworks will: … recognise indigenous needs in relation to water access and management”.</w:t>
            </w:r>
          </w:p>
          <w:p w14:paraId="0BD82473" w14:textId="77777777" w:rsidR="002C0DD1" w:rsidRPr="00751099" w:rsidRDefault="002C0DD1" w:rsidP="002C0DD1">
            <w:pPr>
              <w:rPr>
                <w:rFonts w:ascii="Century Gothic" w:hAnsi="Century Gothic"/>
                <w:i/>
                <w:iCs/>
                <w:sz w:val="20"/>
                <w:szCs w:val="20"/>
              </w:rPr>
            </w:pPr>
            <w:r w:rsidRPr="00751099">
              <w:rPr>
                <w:rFonts w:ascii="Century Gothic" w:hAnsi="Century Gothic"/>
                <w:i/>
                <w:iCs/>
                <w:sz w:val="20"/>
                <w:szCs w:val="20"/>
              </w:rPr>
              <w:t xml:space="preserve">Indigenous Access </w:t>
            </w:r>
          </w:p>
          <w:p w14:paraId="7DFB08A5" w14:textId="77777777" w:rsidR="002C0DD1" w:rsidRPr="00751099" w:rsidRDefault="002C0DD1" w:rsidP="002C0DD1">
            <w:pPr>
              <w:rPr>
                <w:rFonts w:ascii="Century Gothic" w:hAnsi="Century Gothic"/>
                <w:i/>
                <w:iCs/>
                <w:sz w:val="20"/>
                <w:szCs w:val="20"/>
              </w:rPr>
            </w:pPr>
            <w:r w:rsidRPr="00751099">
              <w:rPr>
                <w:rFonts w:ascii="Century Gothic" w:hAnsi="Century Gothic"/>
                <w:i/>
                <w:iCs/>
                <w:sz w:val="20"/>
                <w:szCs w:val="20"/>
              </w:rPr>
              <w:lastRenderedPageBreak/>
              <w:t xml:space="preserve">52. The Parties will provide for indigenous access to water resources, in accordance with relevant Commonwealth, State and Territory legislation, through planning processes that ensure: i) ii) inclusion of indigenous representation in water planning wherever possible; and water plans will incorporate indigenous social, spiritual and customary objectives and strategies for achieving these objectives wherever they can be developed. </w:t>
            </w:r>
          </w:p>
          <w:p w14:paraId="22879CFA" w14:textId="19BA9EA5" w:rsidR="002C0DD1" w:rsidRPr="00751099" w:rsidRDefault="002C0DD1" w:rsidP="002C0DD1">
            <w:pPr>
              <w:rPr>
                <w:rFonts w:ascii="Century Gothic" w:hAnsi="Century Gothic"/>
                <w:i/>
                <w:iCs/>
                <w:sz w:val="20"/>
                <w:szCs w:val="20"/>
              </w:rPr>
            </w:pPr>
            <w:r w:rsidRPr="00751099">
              <w:rPr>
                <w:rFonts w:ascii="Century Gothic" w:hAnsi="Century Gothic"/>
                <w:i/>
                <w:iCs/>
                <w:sz w:val="20"/>
                <w:szCs w:val="20"/>
              </w:rPr>
              <w:t xml:space="preserve">53. Water planning processes will take account of the possible existence of native title rights to water in the catchment or aquifer area. The Parties note that plans may need to allocate water to native title holders following the recognition of native title rights in water under the Commonwealth Native Title Act </w:t>
            </w:r>
            <w:r w:rsidR="004F5D54" w:rsidRPr="00751099">
              <w:rPr>
                <w:rFonts w:ascii="Century Gothic" w:hAnsi="Century Gothic"/>
                <w:i/>
                <w:iCs/>
                <w:sz w:val="20"/>
                <w:szCs w:val="20"/>
              </w:rPr>
              <w:t>1993.</w:t>
            </w:r>
            <w:r w:rsidRPr="00751099">
              <w:rPr>
                <w:rFonts w:ascii="Century Gothic" w:hAnsi="Century Gothic"/>
                <w:i/>
                <w:iCs/>
                <w:sz w:val="20"/>
                <w:szCs w:val="20"/>
              </w:rPr>
              <w:t xml:space="preserve"> </w:t>
            </w:r>
          </w:p>
          <w:p w14:paraId="479DE030" w14:textId="77777777" w:rsidR="002C0DD1" w:rsidRPr="00751099" w:rsidRDefault="002C0DD1" w:rsidP="002C0DD1">
            <w:pPr>
              <w:rPr>
                <w:rFonts w:ascii="Century Gothic" w:hAnsi="Century Gothic"/>
                <w:i/>
                <w:iCs/>
                <w:sz w:val="20"/>
                <w:szCs w:val="20"/>
              </w:rPr>
            </w:pPr>
            <w:r w:rsidRPr="00751099">
              <w:rPr>
                <w:rFonts w:ascii="Century Gothic" w:hAnsi="Century Gothic"/>
                <w:i/>
                <w:iCs/>
                <w:sz w:val="20"/>
                <w:szCs w:val="20"/>
              </w:rPr>
              <w:t>54. Water allocated to native title holders for traditional cultural purposes will be accounted for.</w:t>
            </w:r>
          </w:p>
          <w:p w14:paraId="05EB9C32" w14:textId="77777777" w:rsidR="00E7695A" w:rsidRPr="00751099" w:rsidRDefault="00E7695A" w:rsidP="002C0DD1">
            <w:pPr>
              <w:rPr>
                <w:rFonts w:ascii="Century Gothic" w:hAnsi="Century Gothic"/>
                <w:i/>
                <w:iCs/>
                <w:sz w:val="20"/>
                <w:szCs w:val="20"/>
              </w:rPr>
            </w:pPr>
          </w:p>
          <w:p w14:paraId="0EAE6237" w14:textId="77777777" w:rsidR="002C0DD1" w:rsidRPr="00751099" w:rsidRDefault="002C0DD1" w:rsidP="002C0DD1">
            <w:pPr>
              <w:rPr>
                <w:rFonts w:ascii="Century Gothic" w:hAnsi="Century Gothic"/>
                <w:b/>
                <w:bCs/>
                <w:sz w:val="20"/>
                <w:szCs w:val="20"/>
                <w:u w:val="single"/>
              </w:rPr>
            </w:pPr>
            <w:r w:rsidRPr="00751099">
              <w:rPr>
                <w:rFonts w:ascii="Century Gothic" w:hAnsi="Century Gothic"/>
                <w:b/>
                <w:bCs/>
                <w:sz w:val="20"/>
                <w:szCs w:val="20"/>
                <w:u w:val="single"/>
              </w:rPr>
              <w:t>Water Act 2007 (Cth)</w:t>
            </w:r>
          </w:p>
          <w:p w14:paraId="52FA841D" w14:textId="77777777" w:rsidR="002C0DD1" w:rsidRPr="00751099" w:rsidRDefault="002C0DD1" w:rsidP="002C0DD1">
            <w:pPr>
              <w:rPr>
                <w:rFonts w:ascii="Century Gothic" w:hAnsi="Century Gothic"/>
                <w:i/>
                <w:iCs/>
                <w:sz w:val="20"/>
                <w:szCs w:val="20"/>
              </w:rPr>
            </w:pPr>
            <w:r w:rsidRPr="00751099">
              <w:rPr>
                <w:rFonts w:ascii="Century Gothic" w:hAnsi="Century Gothic"/>
                <w:i/>
                <w:iCs/>
                <w:sz w:val="20"/>
                <w:szCs w:val="20"/>
              </w:rPr>
              <w:t>(fa) to ensure that the use and management of Basin water resources takes into account spiritual, cultural, environmental, social and economic matters relevant to Indigenous people, including in relation to their knowledge, values, uses, traditions and customs; and</w:t>
            </w:r>
          </w:p>
          <w:p w14:paraId="6FAB25D9" w14:textId="77777777" w:rsidR="002C0DD1" w:rsidRPr="00751099" w:rsidRDefault="002C0DD1" w:rsidP="002C0DD1">
            <w:pPr>
              <w:rPr>
                <w:rFonts w:ascii="Century Gothic" w:hAnsi="Century Gothic"/>
                <w:i/>
                <w:iCs/>
                <w:sz w:val="20"/>
                <w:szCs w:val="20"/>
              </w:rPr>
            </w:pPr>
            <w:r w:rsidRPr="00751099">
              <w:rPr>
                <w:rFonts w:ascii="Century Gothic" w:hAnsi="Century Gothic"/>
                <w:i/>
                <w:iCs/>
                <w:sz w:val="20"/>
                <w:szCs w:val="20"/>
              </w:rPr>
              <w:t xml:space="preserve">Subdivision B (2) (da) the use and management of Basin water resources that takes into account spiritual, cultural, environmental, social and economic matters relevant to Indigenous people; </w:t>
            </w:r>
          </w:p>
          <w:p w14:paraId="6A780A71" w14:textId="77777777" w:rsidR="00E7695A" w:rsidRPr="00751099" w:rsidRDefault="00E7695A" w:rsidP="002C0DD1">
            <w:pPr>
              <w:rPr>
                <w:rFonts w:ascii="Century Gothic" w:hAnsi="Century Gothic"/>
                <w:i/>
                <w:iCs/>
                <w:sz w:val="20"/>
                <w:szCs w:val="20"/>
              </w:rPr>
            </w:pPr>
          </w:p>
          <w:p w14:paraId="3C87AD9B" w14:textId="6400CB2B" w:rsidR="002C0DD1" w:rsidRPr="00751099" w:rsidRDefault="002C0DD1" w:rsidP="00173ED1">
            <w:pPr>
              <w:rPr>
                <w:rFonts w:ascii="Century Gothic" w:hAnsi="Century Gothic"/>
                <w:sz w:val="20"/>
                <w:szCs w:val="20"/>
              </w:rPr>
            </w:pPr>
            <w:r w:rsidRPr="00751099">
              <w:rPr>
                <w:rFonts w:ascii="Century Gothic" w:hAnsi="Century Gothic"/>
                <w:sz w:val="20"/>
                <w:szCs w:val="20"/>
              </w:rPr>
              <w:t xml:space="preserve">The BCC also </w:t>
            </w:r>
            <w:r w:rsidR="004F5D54" w:rsidRPr="00751099">
              <w:rPr>
                <w:rFonts w:ascii="Century Gothic" w:hAnsi="Century Gothic"/>
                <w:sz w:val="20"/>
                <w:szCs w:val="20"/>
              </w:rPr>
              <w:t>requires at</w:t>
            </w:r>
            <w:r w:rsidRPr="00751099">
              <w:rPr>
                <w:rFonts w:ascii="Century Gothic" w:hAnsi="Century Gothic"/>
                <w:sz w:val="20"/>
                <w:szCs w:val="20"/>
              </w:rPr>
              <w:t xml:space="preserve"> least 2 Indigenous persons with expertise in Indigenous matters relevant to the Basin’s water resources.</w:t>
            </w:r>
          </w:p>
        </w:tc>
      </w:tr>
    </w:tbl>
    <w:p w14:paraId="7E8875F3" w14:textId="77777777" w:rsidR="005718B3" w:rsidRPr="00751099" w:rsidRDefault="005718B3" w:rsidP="00173ED1">
      <w:pPr>
        <w:rPr>
          <w:rFonts w:ascii="Century Gothic" w:hAnsi="Century Gothic"/>
          <w:i/>
          <w:iCs/>
          <w:sz w:val="20"/>
          <w:szCs w:val="20"/>
        </w:rPr>
      </w:pPr>
    </w:p>
    <w:p w14:paraId="47DFDFD5" w14:textId="39DCBDD1" w:rsidR="0070023E" w:rsidRPr="00751099" w:rsidRDefault="0070023E" w:rsidP="00173ED1">
      <w:pPr>
        <w:rPr>
          <w:rFonts w:ascii="Century Gothic" w:hAnsi="Century Gothic"/>
          <w:sz w:val="20"/>
          <w:szCs w:val="20"/>
        </w:rPr>
      </w:pPr>
      <w:r w:rsidRPr="00751099">
        <w:rPr>
          <w:rFonts w:ascii="Century Gothic" w:hAnsi="Century Gothic"/>
          <w:sz w:val="20"/>
          <w:szCs w:val="20"/>
        </w:rPr>
        <w:t xml:space="preserve">There are further provisions in the Basin Plan and Water Resource Plans. </w:t>
      </w:r>
    </w:p>
    <w:p w14:paraId="016E5C14" w14:textId="7ADE6CD2" w:rsidR="00C24D2F" w:rsidRPr="00751099" w:rsidRDefault="00D41F0A" w:rsidP="00173ED1">
      <w:pPr>
        <w:rPr>
          <w:rFonts w:ascii="Century Gothic" w:hAnsi="Century Gothic"/>
          <w:sz w:val="20"/>
          <w:szCs w:val="20"/>
        </w:rPr>
      </w:pPr>
      <w:r w:rsidRPr="00751099">
        <w:rPr>
          <w:rFonts w:ascii="Century Gothic" w:hAnsi="Century Gothic"/>
          <w:noProof/>
          <w:sz w:val="20"/>
          <w:szCs w:val="20"/>
        </w:rPr>
        <w:lastRenderedPageBreak/>
        <w:drawing>
          <wp:inline distT="0" distB="0" distL="0" distR="0" wp14:anchorId="091FF203" wp14:editId="12EF58B3">
            <wp:extent cx="5731510" cy="5492750"/>
            <wp:effectExtent l="0" t="0" r="2540" b="0"/>
            <wp:docPr id="684353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53441" name=""/>
                    <pic:cNvPicPr/>
                  </pic:nvPicPr>
                  <pic:blipFill>
                    <a:blip r:embed="rId17"/>
                    <a:stretch>
                      <a:fillRect/>
                    </a:stretch>
                  </pic:blipFill>
                  <pic:spPr>
                    <a:xfrm>
                      <a:off x="0" y="0"/>
                      <a:ext cx="5731510" cy="5492750"/>
                    </a:xfrm>
                    <a:prstGeom prst="rect">
                      <a:avLst/>
                    </a:prstGeom>
                  </pic:spPr>
                </pic:pic>
              </a:graphicData>
            </a:graphic>
          </wp:inline>
        </w:drawing>
      </w:r>
    </w:p>
    <w:p w14:paraId="0E8A6EB4" w14:textId="07AFB50E" w:rsidR="00764BFC" w:rsidRPr="00751099" w:rsidRDefault="00764BFC" w:rsidP="00764BFC">
      <w:pPr>
        <w:pStyle w:val="Heading3"/>
        <w:rPr>
          <w:rFonts w:ascii="Century Gothic" w:hAnsi="Century Gothic"/>
          <w:sz w:val="24"/>
          <w:szCs w:val="24"/>
        </w:rPr>
      </w:pPr>
      <w:bookmarkStart w:id="10" w:name="_Toc233372729"/>
      <w:r w:rsidRPr="00751099">
        <w:rPr>
          <w:rFonts w:ascii="Century Gothic" w:hAnsi="Century Gothic"/>
          <w:sz w:val="24"/>
          <w:szCs w:val="24"/>
        </w:rPr>
        <w:t xml:space="preserve">Indigenous water rights and interests at the </w:t>
      </w:r>
      <w:r>
        <w:rPr>
          <w:rFonts w:ascii="Century Gothic" w:hAnsi="Century Gothic"/>
          <w:sz w:val="24"/>
          <w:szCs w:val="24"/>
        </w:rPr>
        <w:t>State</w:t>
      </w:r>
      <w:r w:rsidRPr="00751099">
        <w:rPr>
          <w:rFonts w:ascii="Century Gothic" w:hAnsi="Century Gothic"/>
          <w:sz w:val="24"/>
          <w:szCs w:val="24"/>
        </w:rPr>
        <w:t xml:space="preserve"> level</w:t>
      </w:r>
      <w:bookmarkEnd w:id="10"/>
    </w:p>
    <w:p w14:paraId="47584F46" w14:textId="601427C4" w:rsidR="00246119" w:rsidRDefault="004F5D54" w:rsidP="00173ED1">
      <w:pPr>
        <w:rPr>
          <w:rFonts w:ascii="Century Gothic" w:hAnsi="Century Gothic"/>
          <w:sz w:val="20"/>
          <w:szCs w:val="20"/>
        </w:rPr>
      </w:pPr>
      <w:r>
        <w:rPr>
          <w:rFonts w:ascii="Century Gothic" w:hAnsi="Century Gothic"/>
          <w:sz w:val="20"/>
          <w:szCs w:val="20"/>
        </w:rPr>
        <w:t>This section</w:t>
      </w:r>
      <w:r w:rsidR="00246119" w:rsidRPr="00751099">
        <w:rPr>
          <w:rFonts w:ascii="Century Gothic" w:hAnsi="Century Gothic"/>
          <w:sz w:val="20"/>
          <w:szCs w:val="20"/>
        </w:rPr>
        <w:t xml:space="preserve"> </w:t>
      </w:r>
      <w:r w:rsidR="00246119">
        <w:rPr>
          <w:rFonts w:ascii="Century Gothic" w:hAnsi="Century Gothic"/>
          <w:sz w:val="20"/>
          <w:szCs w:val="20"/>
        </w:rPr>
        <w:t>outlines</w:t>
      </w:r>
      <w:r w:rsidR="00246119" w:rsidRPr="00751099">
        <w:rPr>
          <w:rFonts w:ascii="Century Gothic" w:hAnsi="Century Gothic"/>
          <w:sz w:val="20"/>
          <w:szCs w:val="20"/>
        </w:rPr>
        <w:t xml:space="preserve"> some of the current arrangements in place at a </w:t>
      </w:r>
      <w:r w:rsidR="00246119">
        <w:rPr>
          <w:rFonts w:ascii="Century Gothic" w:hAnsi="Century Gothic"/>
          <w:sz w:val="20"/>
          <w:szCs w:val="20"/>
        </w:rPr>
        <w:t>State</w:t>
      </w:r>
      <w:r w:rsidR="00246119" w:rsidRPr="00751099">
        <w:rPr>
          <w:rFonts w:ascii="Century Gothic" w:hAnsi="Century Gothic"/>
          <w:sz w:val="20"/>
          <w:szCs w:val="20"/>
        </w:rPr>
        <w:t xml:space="preserve"> level. </w:t>
      </w:r>
      <w:r w:rsidR="0066681D">
        <w:rPr>
          <w:rFonts w:ascii="Century Gothic" w:hAnsi="Century Gothic"/>
          <w:sz w:val="20"/>
          <w:szCs w:val="20"/>
        </w:rPr>
        <w:t xml:space="preserve">This varies between jurisdictions. NSW is used below as a case study. </w:t>
      </w:r>
    </w:p>
    <w:p w14:paraId="189B87AA" w14:textId="392B20D7" w:rsidR="008C0C49" w:rsidRPr="00751099" w:rsidRDefault="0066681D" w:rsidP="00173ED1">
      <w:pPr>
        <w:rPr>
          <w:rFonts w:ascii="Century Gothic" w:hAnsi="Century Gothic"/>
          <w:sz w:val="20"/>
          <w:szCs w:val="20"/>
        </w:rPr>
      </w:pPr>
      <w:r>
        <w:rPr>
          <w:rFonts w:ascii="Century Gothic" w:hAnsi="Century Gothic"/>
          <w:sz w:val="20"/>
          <w:szCs w:val="20"/>
        </w:rPr>
        <w:t>In</w:t>
      </w:r>
      <w:r w:rsidR="00D602C2" w:rsidRPr="00751099">
        <w:rPr>
          <w:rFonts w:ascii="Century Gothic" w:hAnsi="Century Gothic"/>
          <w:sz w:val="20"/>
          <w:szCs w:val="20"/>
        </w:rPr>
        <w:t xml:space="preserve"> the NSW Water Management Act 2000</w:t>
      </w:r>
      <w:r w:rsidR="00B97F41" w:rsidRPr="00751099">
        <w:rPr>
          <w:rFonts w:ascii="Century Gothic" w:hAnsi="Century Gothic"/>
          <w:sz w:val="20"/>
          <w:szCs w:val="20"/>
        </w:rPr>
        <w:t>:</w:t>
      </w:r>
    </w:p>
    <w:tbl>
      <w:tblPr>
        <w:tblStyle w:val="TableGrid"/>
        <w:tblW w:w="0" w:type="auto"/>
        <w:tblLook w:val="04A0" w:firstRow="1" w:lastRow="0" w:firstColumn="1" w:lastColumn="0" w:noHBand="0" w:noVBand="1"/>
      </w:tblPr>
      <w:tblGrid>
        <w:gridCol w:w="9016"/>
      </w:tblGrid>
      <w:tr w:rsidR="001B369C" w:rsidRPr="00751099" w14:paraId="049FBF74" w14:textId="77777777" w:rsidTr="00016700">
        <w:tc>
          <w:tcPr>
            <w:tcW w:w="9016" w:type="dxa"/>
            <w:shd w:val="clear" w:color="auto" w:fill="F2F2F2" w:themeFill="background1" w:themeFillShade="F2"/>
          </w:tcPr>
          <w:p w14:paraId="57D6A27F" w14:textId="77777777" w:rsidR="001B369C" w:rsidRPr="00751099" w:rsidRDefault="001B369C" w:rsidP="001B369C">
            <w:pPr>
              <w:rPr>
                <w:rFonts w:ascii="Century Gothic" w:hAnsi="Century Gothic"/>
                <w:i/>
                <w:iCs/>
                <w:sz w:val="20"/>
                <w:szCs w:val="20"/>
              </w:rPr>
            </w:pPr>
            <w:r w:rsidRPr="00751099">
              <w:rPr>
                <w:rFonts w:ascii="Century Gothic" w:hAnsi="Century Gothic"/>
                <w:i/>
                <w:iCs/>
                <w:sz w:val="20"/>
                <w:szCs w:val="20"/>
              </w:rPr>
              <w:t xml:space="preserve">3 – Objects </w:t>
            </w:r>
          </w:p>
          <w:p w14:paraId="6024CA83" w14:textId="77777777" w:rsidR="001B369C" w:rsidRPr="00751099" w:rsidRDefault="001B369C" w:rsidP="001B369C">
            <w:pPr>
              <w:spacing w:after="160" w:line="259" w:lineRule="auto"/>
              <w:rPr>
                <w:rFonts w:ascii="Century Gothic" w:hAnsi="Century Gothic"/>
                <w:i/>
                <w:iCs/>
                <w:sz w:val="20"/>
                <w:szCs w:val="20"/>
              </w:rPr>
            </w:pPr>
            <w:r w:rsidRPr="00751099">
              <w:rPr>
                <w:rFonts w:ascii="Century Gothic" w:hAnsi="Century Gothic"/>
                <w:i/>
                <w:iCs/>
                <w:sz w:val="20"/>
                <w:szCs w:val="20"/>
              </w:rPr>
              <w:t>(c)  to recognise and foster the significant social and economic benefits to the State that result from the sustainable and efficient use of water, including—</w:t>
            </w:r>
          </w:p>
          <w:p w14:paraId="7E79DE66" w14:textId="77777777" w:rsidR="001B369C" w:rsidRPr="00751099" w:rsidRDefault="001B369C" w:rsidP="001B369C">
            <w:pPr>
              <w:spacing w:after="160" w:line="259" w:lineRule="auto"/>
              <w:rPr>
                <w:rFonts w:ascii="Century Gothic" w:hAnsi="Century Gothic"/>
                <w:i/>
                <w:iCs/>
                <w:sz w:val="20"/>
                <w:szCs w:val="20"/>
              </w:rPr>
            </w:pPr>
            <w:r w:rsidRPr="00751099">
              <w:rPr>
                <w:rFonts w:ascii="Century Gothic" w:hAnsi="Century Gothic"/>
                <w:i/>
                <w:iCs/>
                <w:sz w:val="20"/>
                <w:szCs w:val="20"/>
              </w:rPr>
              <w:t>(i)  benefits to the environment, and</w:t>
            </w:r>
          </w:p>
          <w:p w14:paraId="2455F4F4" w14:textId="77777777" w:rsidR="001B369C" w:rsidRPr="00751099" w:rsidRDefault="001B369C" w:rsidP="001B369C">
            <w:pPr>
              <w:spacing w:after="160" w:line="259" w:lineRule="auto"/>
              <w:rPr>
                <w:rFonts w:ascii="Century Gothic" w:hAnsi="Century Gothic"/>
                <w:i/>
                <w:iCs/>
                <w:sz w:val="20"/>
                <w:szCs w:val="20"/>
              </w:rPr>
            </w:pPr>
            <w:r w:rsidRPr="00751099">
              <w:rPr>
                <w:rFonts w:ascii="Century Gothic" w:hAnsi="Century Gothic"/>
                <w:i/>
                <w:iCs/>
                <w:sz w:val="20"/>
                <w:szCs w:val="20"/>
              </w:rPr>
              <w:t>(ii)  benefits to urban communities, agriculture, fisheries, industry and recreation, and</w:t>
            </w:r>
          </w:p>
          <w:p w14:paraId="10A2FEE6" w14:textId="77777777" w:rsidR="001B369C" w:rsidRPr="00751099" w:rsidRDefault="001B369C" w:rsidP="001B369C">
            <w:pPr>
              <w:spacing w:after="160" w:line="259" w:lineRule="auto"/>
              <w:rPr>
                <w:rFonts w:ascii="Century Gothic" w:hAnsi="Century Gothic"/>
                <w:i/>
                <w:iCs/>
                <w:sz w:val="20"/>
                <w:szCs w:val="20"/>
              </w:rPr>
            </w:pPr>
            <w:r w:rsidRPr="00751099">
              <w:rPr>
                <w:rFonts w:ascii="Century Gothic" w:hAnsi="Century Gothic"/>
                <w:i/>
                <w:iCs/>
                <w:sz w:val="20"/>
                <w:szCs w:val="20"/>
              </w:rPr>
              <w:t>(iii)  benefits to culture and heritage, and</w:t>
            </w:r>
          </w:p>
          <w:p w14:paraId="7155D380" w14:textId="6675D6D3" w:rsidR="001B369C" w:rsidRPr="00751099" w:rsidRDefault="001B369C" w:rsidP="001B369C">
            <w:pPr>
              <w:spacing w:after="160" w:line="259" w:lineRule="auto"/>
              <w:rPr>
                <w:rFonts w:ascii="Century Gothic" w:hAnsi="Century Gothic"/>
                <w:i/>
                <w:iCs/>
                <w:sz w:val="20"/>
                <w:szCs w:val="20"/>
              </w:rPr>
            </w:pPr>
            <w:r w:rsidRPr="00751099">
              <w:rPr>
                <w:rFonts w:ascii="Century Gothic" w:hAnsi="Century Gothic"/>
                <w:i/>
                <w:iCs/>
                <w:sz w:val="20"/>
                <w:szCs w:val="20"/>
              </w:rPr>
              <w:t>(iv)  benefits to the Aboriginal people in relation to their spiritual, social, customary and economic use of land and water,</w:t>
            </w:r>
          </w:p>
        </w:tc>
      </w:tr>
    </w:tbl>
    <w:p w14:paraId="4EAD0EAC" w14:textId="77777777" w:rsidR="00263FEC" w:rsidRPr="00751099" w:rsidRDefault="00263FEC" w:rsidP="00173ED1">
      <w:pPr>
        <w:rPr>
          <w:rFonts w:ascii="Century Gothic" w:hAnsi="Century Gothic"/>
          <w:sz w:val="20"/>
          <w:szCs w:val="20"/>
        </w:rPr>
      </w:pPr>
    </w:p>
    <w:p w14:paraId="0DC13831" w14:textId="0F6FCA35" w:rsidR="00D602C2" w:rsidRPr="00751099" w:rsidRDefault="00827948" w:rsidP="00173ED1">
      <w:pPr>
        <w:rPr>
          <w:rFonts w:ascii="Century Gothic" w:hAnsi="Century Gothic"/>
          <w:sz w:val="20"/>
          <w:szCs w:val="20"/>
        </w:rPr>
      </w:pPr>
      <w:r w:rsidRPr="00751099">
        <w:rPr>
          <w:rFonts w:ascii="Century Gothic" w:hAnsi="Century Gothic"/>
          <w:sz w:val="20"/>
          <w:szCs w:val="20"/>
        </w:rPr>
        <w:t>Native titles rights are also established:</w:t>
      </w:r>
    </w:p>
    <w:tbl>
      <w:tblPr>
        <w:tblStyle w:val="TableGrid"/>
        <w:tblW w:w="0" w:type="auto"/>
        <w:tblLook w:val="04A0" w:firstRow="1" w:lastRow="0" w:firstColumn="1" w:lastColumn="0" w:noHBand="0" w:noVBand="1"/>
      </w:tblPr>
      <w:tblGrid>
        <w:gridCol w:w="9016"/>
      </w:tblGrid>
      <w:tr w:rsidR="001B369C" w:rsidRPr="00751099" w14:paraId="10843ADA" w14:textId="77777777" w:rsidTr="00016700">
        <w:tc>
          <w:tcPr>
            <w:tcW w:w="9016" w:type="dxa"/>
            <w:shd w:val="clear" w:color="auto" w:fill="F2F2F2" w:themeFill="background1" w:themeFillShade="F2"/>
          </w:tcPr>
          <w:p w14:paraId="2E36B977" w14:textId="77777777" w:rsidR="001B369C" w:rsidRPr="00751099" w:rsidRDefault="001B369C" w:rsidP="001B369C">
            <w:pPr>
              <w:spacing w:after="160" w:line="259" w:lineRule="auto"/>
              <w:rPr>
                <w:rFonts w:ascii="Century Gothic" w:hAnsi="Century Gothic"/>
                <w:b/>
                <w:bCs/>
                <w:i/>
                <w:iCs/>
                <w:sz w:val="20"/>
                <w:szCs w:val="20"/>
              </w:rPr>
            </w:pPr>
            <w:r w:rsidRPr="00751099">
              <w:rPr>
                <w:rFonts w:ascii="Century Gothic" w:hAnsi="Century Gothic"/>
                <w:b/>
                <w:bCs/>
                <w:i/>
                <w:iCs/>
                <w:sz w:val="20"/>
                <w:szCs w:val="20"/>
              </w:rPr>
              <w:lastRenderedPageBreak/>
              <w:t>Division 3 Native title rights</w:t>
            </w:r>
          </w:p>
          <w:p w14:paraId="0475E8A5" w14:textId="77777777" w:rsidR="001B369C" w:rsidRPr="00751099" w:rsidRDefault="001B369C" w:rsidP="001B369C">
            <w:pPr>
              <w:spacing w:after="160" w:line="259" w:lineRule="auto"/>
              <w:rPr>
                <w:rFonts w:ascii="Century Gothic" w:hAnsi="Century Gothic"/>
                <w:i/>
                <w:iCs/>
                <w:sz w:val="20"/>
                <w:szCs w:val="20"/>
              </w:rPr>
            </w:pPr>
            <w:r w:rsidRPr="00751099">
              <w:rPr>
                <w:rFonts w:ascii="Century Gothic" w:hAnsi="Century Gothic"/>
                <w:b/>
                <w:bCs/>
                <w:i/>
                <w:iCs/>
                <w:sz w:val="20"/>
                <w:szCs w:val="20"/>
              </w:rPr>
              <w:t>55</w:t>
            </w:r>
            <w:r w:rsidRPr="00751099">
              <w:rPr>
                <w:rFonts w:ascii="Century Gothic" w:hAnsi="Century Gothic"/>
                <w:i/>
                <w:iCs/>
                <w:sz w:val="20"/>
                <w:szCs w:val="20"/>
              </w:rPr>
              <w:t>   </w:t>
            </w:r>
            <w:r w:rsidRPr="00751099">
              <w:rPr>
                <w:rFonts w:ascii="Century Gothic" w:hAnsi="Century Gothic"/>
                <w:b/>
                <w:bCs/>
                <w:i/>
                <w:iCs/>
                <w:sz w:val="20"/>
                <w:szCs w:val="20"/>
              </w:rPr>
              <w:t>Native title rights</w:t>
            </w:r>
          </w:p>
          <w:p w14:paraId="3A6AB053" w14:textId="77777777" w:rsidR="001B369C" w:rsidRPr="00751099" w:rsidRDefault="001B369C" w:rsidP="001B369C">
            <w:pPr>
              <w:spacing w:after="160" w:line="259" w:lineRule="auto"/>
              <w:rPr>
                <w:rFonts w:ascii="Century Gothic" w:hAnsi="Century Gothic"/>
                <w:i/>
                <w:iCs/>
                <w:sz w:val="20"/>
                <w:szCs w:val="20"/>
              </w:rPr>
            </w:pPr>
            <w:r w:rsidRPr="00751099">
              <w:rPr>
                <w:rFonts w:ascii="Century Gothic" w:hAnsi="Century Gothic"/>
                <w:i/>
                <w:iCs/>
                <w:sz w:val="20"/>
                <w:szCs w:val="20"/>
              </w:rPr>
              <w:t>(1)  A native title holder is entitled, without the need for an access licence, water supply work approval or water use approval, to take and use water in the exercise of native title rights.</w:t>
            </w:r>
          </w:p>
          <w:p w14:paraId="29FB2457" w14:textId="77777777" w:rsidR="001B369C" w:rsidRPr="00751099" w:rsidRDefault="001B369C" w:rsidP="001B369C">
            <w:pPr>
              <w:spacing w:after="160" w:line="259" w:lineRule="auto"/>
              <w:rPr>
                <w:rFonts w:ascii="Century Gothic" w:hAnsi="Century Gothic"/>
                <w:i/>
                <w:iCs/>
                <w:sz w:val="20"/>
                <w:szCs w:val="20"/>
              </w:rPr>
            </w:pPr>
            <w:r w:rsidRPr="00751099">
              <w:rPr>
                <w:rFonts w:ascii="Century Gothic" w:hAnsi="Century Gothic"/>
                <w:i/>
                <w:iCs/>
                <w:sz w:val="20"/>
                <w:szCs w:val="20"/>
              </w:rPr>
              <w:t>(2)  This section does not authorise a native title holder—</w:t>
            </w:r>
          </w:p>
          <w:p w14:paraId="22ADDC53" w14:textId="77777777" w:rsidR="001B369C" w:rsidRPr="00751099" w:rsidRDefault="001B369C" w:rsidP="001B369C">
            <w:pPr>
              <w:spacing w:after="160" w:line="259" w:lineRule="auto"/>
              <w:rPr>
                <w:rFonts w:ascii="Century Gothic" w:hAnsi="Century Gothic"/>
                <w:i/>
                <w:iCs/>
                <w:sz w:val="20"/>
                <w:szCs w:val="20"/>
              </w:rPr>
            </w:pPr>
            <w:r w:rsidRPr="00751099">
              <w:rPr>
                <w:rFonts w:ascii="Century Gothic" w:hAnsi="Century Gothic"/>
                <w:i/>
                <w:iCs/>
                <w:sz w:val="20"/>
                <w:szCs w:val="20"/>
              </w:rPr>
              <w:t>(a)  to construct a dam or water bore without a water supply work approval, or</w:t>
            </w:r>
          </w:p>
          <w:p w14:paraId="02EA10E8" w14:textId="77777777" w:rsidR="001B369C" w:rsidRPr="00751099" w:rsidRDefault="001B369C" w:rsidP="001B369C">
            <w:pPr>
              <w:spacing w:after="160" w:line="259" w:lineRule="auto"/>
              <w:rPr>
                <w:rFonts w:ascii="Century Gothic" w:hAnsi="Century Gothic"/>
                <w:i/>
                <w:iCs/>
                <w:sz w:val="20"/>
                <w:szCs w:val="20"/>
              </w:rPr>
            </w:pPr>
            <w:r w:rsidRPr="00751099">
              <w:rPr>
                <w:rFonts w:ascii="Century Gothic" w:hAnsi="Century Gothic"/>
                <w:i/>
                <w:iCs/>
                <w:sz w:val="20"/>
                <w:szCs w:val="20"/>
              </w:rPr>
              <w:t>(b)  to construct or use a water supply work otherwise than on land that he or she owns.</w:t>
            </w:r>
          </w:p>
          <w:p w14:paraId="7871C6E5" w14:textId="29F50B85" w:rsidR="002C51D3" w:rsidRPr="00751099" w:rsidRDefault="001B369C" w:rsidP="001B369C">
            <w:pPr>
              <w:spacing w:after="160" w:line="259" w:lineRule="auto"/>
              <w:rPr>
                <w:rFonts w:ascii="Century Gothic" w:hAnsi="Century Gothic"/>
                <w:i/>
                <w:iCs/>
                <w:sz w:val="20"/>
                <w:szCs w:val="20"/>
              </w:rPr>
            </w:pPr>
            <w:r w:rsidRPr="00751099">
              <w:rPr>
                <w:rFonts w:ascii="Century Gothic" w:hAnsi="Century Gothic"/>
                <w:i/>
                <w:iCs/>
                <w:sz w:val="20"/>
                <w:szCs w:val="20"/>
              </w:rPr>
              <w:t>(3)  The maximum amount of water that can be taken or used by a native title holder in any one year for domestic and traditional purposes is the amount prescribed by the regulations.</w:t>
            </w:r>
          </w:p>
          <w:p w14:paraId="66D18FBD" w14:textId="78B98BD9" w:rsidR="002C51D3" w:rsidRPr="00751099" w:rsidRDefault="002C51D3" w:rsidP="002C51D3">
            <w:pPr>
              <w:rPr>
                <w:rFonts w:ascii="Century Gothic" w:hAnsi="Century Gothic"/>
                <w:i/>
                <w:iCs/>
                <w:sz w:val="20"/>
                <w:szCs w:val="20"/>
              </w:rPr>
            </w:pPr>
            <w:r w:rsidRPr="00751099">
              <w:rPr>
                <w:rFonts w:ascii="Century Gothic" w:hAnsi="Century Gothic"/>
                <w:i/>
                <w:iCs/>
                <w:sz w:val="20"/>
                <w:szCs w:val="20"/>
              </w:rPr>
              <w:t xml:space="preserve">** </w:t>
            </w:r>
            <w:r w:rsidRPr="00751099">
              <w:rPr>
                <w:rFonts w:ascii="Century Gothic" w:hAnsi="Century Gothic"/>
                <w:b/>
                <w:bCs/>
                <w:i/>
                <w:iCs/>
                <w:sz w:val="20"/>
                <w:szCs w:val="20"/>
              </w:rPr>
              <w:t>native title rights</w:t>
            </w:r>
            <w:r w:rsidRPr="00751099">
              <w:rPr>
                <w:rFonts w:ascii="Century Gothic" w:hAnsi="Century Gothic"/>
                <w:i/>
                <w:iCs/>
                <w:sz w:val="20"/>
                <w:szCs w:val="20"/>
              </w:rPr>
              <w:t> means non-exclusive rights to take and use water for personal, domestic and non-commercial communal purposes (including the purposes of drinking, food preparation, washing, manufacturing traditional artefacts, watering domestic gardens, hunting, fishing and gathering and recreation, cultural and ceremonial purposes).</w:t>
            </w:r>
          </w:p>
        </w:tc>
      </w:tr>
    </w:tbl>
    <w:p w14:paraId="21F3D9BA" w14:textId="77777777" w:rsidR="001B369C" w:rsidRPr="00751099" w:rsidRDefault="001B369C" w:rsidP="00173ED1">
      <w:pPr>
        <w:rPr>
          <w:rFonts w:ascii="Century Gothic" w:hAnsi="Century Gothic"/>
          <w:sz w:val="20"/>
          <w:szCs w:val="20"/>
        </w:rPr>
      </w:pPr>
    </w:p>
    <w:p w14:paraId="40F7550E" w14:textId="4358967D" w:rsidR="00827948" w:rsidRPr="00751099" w:rsidRDefault="00AA29B5" w:rsidP="00173ED1">
      <w:pPr>
        <w:rPr>
          <w:rFonts w:ascii="Century Gothic" w:hAnsi="Century Gothic"/>
          <w:sz w:val="20"/>
          <w:szCs w:val="20"/>
        </w:rPr>
      </w:pPr>
      <w:r w:rsidRPr="00751099">
        <w:rPr>
          <w:rFonts w:ascii="Century Gothic" w:hAnsi="Century Gothic"/>
          <w:sz w:val="20"/>
          <w:szCs w:val="20"/>
        </w:rPr>
        <w:t xml:space="preserve">These rights and objectives are further explored via Water Sharing Plans (WSPs). For example, below is a case study from the </w:t>
      </w:r>
      <w:r w:rsidR="00BA0CA6" w:rsidRPr="00751099">
        <w:rPr>
          <w:rFonts w:ascii="Century Gothic" w:hAnsi="Century Gothic"/>
          <w:i/>
          <w:iCs/>
          <w:sz w:val="20"/>
          <w:szCs w:val="20"/>
        </w:rPr>
        <w:t>Water Sharing Plan for the New South Wales Murray and Lower Darling Regulated Rivers Water Sources 2016</w:t>
      </w:r>
      <w:r w:rsidRPr="00751099">
        <w:rPr>
          <w:rFonts w:ascii="Century Gothic" w:hAnsi="Century Gothic"/>
          <w:sz w:val="20"/>
          <w:szCs w:val="20"/>
        </w:rPr>
        <w:t>:</w:t>
      </w:r>
    </w:p>
    <w:tbl>
      <w:tblPr>
        <w:tblStyle w:val="TableGrid"/>
        <w:tblW w:w="0" w:type="auto"/>
        <w:tblLook w:val="04A0" w:firstRow="1" w:lastRow="0" w:firstColumn="1" w:lastColumn="0" w:noHBand="0" w:noVBand="1"/>
      </w:tblPr>
      <w:tblGrid>
        <w:gridCol w:w="9016"/>
      </w:tblGrid>
      <w:tr w:rsidR="00986224" w:rsidRPr="00751099" w14:paraId="54E0E5F0" w14:textId="77777777" w:rsidTr="00016700">
        <w:tc>
          <w:tcPr>
            <w:tcW w:w="9016" w:type="dxa"/>
            <w:shd w:val="clear" w:color="auto" w:fill="F2F2F2" w:themeFill="background1" w:themeFillShade="F2"/>
          </w:tcPr>
          <w:p w14:paraId="04B25472" w14:textId="77777777" w:rsidR="00986224" w:rsidRPr="00751099" w:rsidRDefault="00986224" w:rsidP="00986224">
            <w:pPr>
              <w:rPr>
                <w:rFonts w:ascii="Century Gothic" w:hAnsi="Century Gothic"/>
                <w:b/>
                <w:bCs/>
                <w:i/>
                <w:iCs/>
                <w:sz w:val="20"/>
                <w:szCs w:val="20"/>
              </w:rPr>
            </w:pPr>
            <w:r w:rsidRPr="00751099">
              <w:rPr>
                <w:rFonts w:ascii="Century Gothic" w:hAnsi="Century Gothic"/>
                <w:b/>
                <w:bCs/>
                <w:i/>
                <w:iCs/>
                <w:sz w:val="20"/>
                <w:szCs w:val="20"/>
              </w:rPr>
              <w:t xml:space="preserve">10 Aboriginal cultural objectives </w:t>
            </w:r>
          </w:p>
          <w:p w14:paraId="65F7AA25" w14:textId="6EA8B36C" w:rsidR="00986224" w:rsidRPr="00751099" w:rsidRDefault="00986224" w:rsidP="00986224">
            <w:pPr>
              <w:rPr>
                <w:rFonts w:ascii="Century Gothic" w:hAnsi="Century Gothic"/>
                <w:i/>
                <w:iCs/>
                <w:sz w:val="20"/>
                <w:szCs w:val="20"/>
              </w:rPr>
            </w:pPr>
            <w:r w:rsidRPr="00751099">
              <w:rPr>
                <w:rFonts w:ascii="Century Gothic" w:hAnsi="Century Gothic"/>
                <w:i/>
                <w:iCs/>
                <w:sz w:val="20"/>
                <w:szCs w:val="20"/>
              </w:rPr>
              <w:t xml:space="preserve">(1) The broad Aboriginal cultural objective of this Plan is to maintain, and where possible improve, the spiritual, social, customary and economic values and uses of water by Aboriginal people. </w:t>
            </w:r>
          </w:p>
          <w:p w14:paraId="694729C0" w14:textId="77777777" w:rsidR="00986224" w:rsidRPr="00751099" w:rsidRDefault="00986224" w:rsidP="00986224">
            <w:pPr>
              <w:rPr>
                <w:rFonts w:ascii="Century Gothic" w:hAnsi="Century Gothic"/>
                <w:i/>
                <w:iCs/>
                <w:sz w:val="20"/>
                <w:szCs w:val="20"/>
              </w:rPr>
            </w:pPr>
            <w:r w:rsidRPr="00751099">
              <w:rPr>
                <w:rFonts w:ascii="Century Gothic" w:hAnsi="Century Gothic"/>
                <w:i/>
                <w:iCs/>
                <w:sz w:val="20"/>
                <w:szCs w:val="20"/>
              </w:rPr>
              <w:t xml:space="preserve">(2) The targeted Aboriginal cultural objectives of this Plan are as follows— </w:t>
            </w:r>
          </w:p>
          <w:p w14:paraId="6A19A28F" w14:textId="77777777" w:rsidR="00986224" w:rsidRPr="00751099" w:rsidRDefault="00986224" w:rsidP="0063603D">
            <w:pPr>
              <w:ind w:left="720"/>
              <w:rPr>
                <w:rFonts w:ascii="Century Gothic" w:hAnsi="Century Gothic"/>
                <w:i/>
                <w:iCs/>
                <w:sz w:val="20"/>
                <w:szCs w:val="20"/>
              </w:rPr>
            </w:pPr>
            <w:r w:rsidRPr="00751099">
              <w:rPr>
                <w:rFonts w:ascii="Century Gothic" w:hAnsi="Century Gothic"/>
                <w:i/>
                <w:iCs/>
                <w:sz w:val="20"/>
                <w:szCs w:val="20"/>
              </w:rPr>
              <w:t xml:space="preserve">(a) to provide access to water in the exercise of native title rights, </w:t>
            </w:r>
          </w:p>
          <w:p w14:paraId="747E32CB" w14:textId="77777777" w:rsidR="00986224" w:rsidRPr="00751099" w:rsidRDefault="00986224" w:rsidP="0063603D">
            <w:pPr>
              <w:ind w:left="720"/>
              <w:rPr>
                <w:rFonts w:ascii="Century Gothic" w:hAnsi="Century Gothic"/>
                <w:i/>
                <w:iCs/>
                <w:sz w:val="20"/>
                <w:szCs w:val="20"/>
              </w:rPr>
            </w:pPr>
            <w:r w:rsidRPr="00751099">
              <w:rPr>
                <w:rFonts w:ascii="Century Gothic" w:hAnsi="Century Gothic"/>
                <w:i/>
                <w:iCs/>
                <w:sz w:val="20"/>
                <w:szCs w:val="20"/>
              </w:rPr>
              <w:t xml:space="preserve">(b) to provide access to water for Aboriginal cultural use, </w:t>
            </w:r>
          </w:p>
          <w:p w14:paraId="5BF51BBB" w14:textId="61EE06E6" w:rsidR="00986224" w:rsidRPr="00751099" w:rsidRDefault="00986224" w:rsidP="00BA0CA6">
            <w:pPr>
              <w:ind w:left="720"/>
              <w:rPr>
                <w:rFonts w:ascii="Century Gothic" w:hAnsi="Century Gothic"/>
                <w:i/>
                <w:iCs/>
                <w:sz w:val="20"/>
                <w:szCs w:val="20"/>
              </w:rPr>
            </w:pPr>
            <w:r w:rsidRPr="00751099">
              <w:rPr>
                <w:rFonts w:ascii="Century Gothic" w:hAnsi="Century Gothic"/>
                <w:i/>
                <w:iCs/>
                <w:sz w:val="20"/>
                <w:szCs w:val="20"/>
              </w:rPr>
              <w:t xml:space="preserve">(c) to protect and, where possible enhance, identified water-dependent culturally significant areas, including important riparian vegetation communities, </w:t>
            </w:r>
          </w:p>
          <w:p w14:paraId="580B8D43" w14:textId="6914EC3F" w:rsidR="00986224" w:rsidRPr="00751099" w:rsidRDefault="00986224" w:rsidP="00BA0CA6">
            <w:pPr>
              <w:ind w:left="720"/>
              <w:rPr>
                <w:rFonts w:ascii="Century Gothic" w:hAnsi="Century Gothic"/>
                <w:i/>
                <w:iCs/>
                <w:sz w:val="20"/>
                <w:szCs w:val="20"/>
              </w:rPr>
            </w:pPr>
            <w:r w:rsidRPr="00751099">
              <w:rPr>
                <w:rFonts w:ascii="Century Gothic" w:hAnsi="Century Gothic"/>
                <w:i/>
                <w:iCs/>
                <w:sz w:val="20"/>
                <w:szCs w:val="20"/>
              </w:rPr>
              <w:t xml:space="preserve">(d) to maintain water quality within target ranges to ensure suitability of water for Aboriginal cultural use. </w:t>
            </w:r>
          </w:p>
          <w:p w14:paraId="4E3738FA" w14:textId="77777777" w:rsidR="00986224" w:rsidRPr="00751099" w:rsidRDefault="00986224" w:rsidP="00986224">
            <w:pPr>
              <w:rPr>
                <w:rFonts w:ascii="Century Gothic" w:hAnsi="Century Gothic"/>
                <w:i/>
                <w:iCs/>
                <w:sz w:val="20"/>
                <w:szCs w:val="20"/>
              </w:rPr>
            </w:pPr>
            <w:r w:rsidRPr="00751099">
              <w:rPr>
                <w:rFonts w:ascii="Century Gothic" w:hAnsi="Century Gothic"/>
                <w:i/>
                <w:iCs/>
                <w:sz w:val="20"/>
                <w:szCs w:val="20"/>
              </w:rPr>
              <w:t xml:space="preserve">(3) The strategies for achieving the Aboriginal cultural objectives of this Plan are as follows— </w:t>
            </w:r>
          </w:p>
          <w:p w14:paraId="3791AF67" w14:textId="77777777" w:rsidR="00986224" w:rsidRPr="00751099" w:rsidRDefault="00986224" w:rsidP="0063603D">
            <w:pPr>
              <w:ind w:left="720"/>
              <w:rPr>
                <w:rFonts w:ascii="Century Gothic" w:hAnsi="Century Gothic"/>
                <w:i/>
                <w:iCs/>
                <w:sz w:val="20"/>
                <w:szCs w:val="20"/>
              </w:rPr>
            </w:pPr>
            <w:r w:rsidRPr="00751099">
              <w:rPr>
                <w:rFonts w:ascii="Century Gothic" w:hAnsi="Century Gothic"/>
                <w:i/>
                <w:iCs/>
                <w:sz w:val="20"/>
                <w:szCs w:val="20"/>
              </w:rPr>
              <w:t xml:space="preserve">(a) manage access to water consistent with the exercise of native title rights, </w:t>
            </w:r>
          </w:p>
          <w:p w14:paraId="6B02E16D" w14:textId="77777777" w:rsidR="00986224" w:rsidRPr="00751099" w:rsidRDefault="00986224" w:rsidP="0063603D">
            <w:pPr>
              <w:ind w:left="720"/>
              <w:rPr>
                <w:rFonts w:ascii="Century Gothic" w:hAnsi="Century Gothic"/>
                <w:i/>
                <w:iCs/>
                <w:sz w:val="20"/>
                <w:szCs w:val="20"/>
              </w:rPr>
            </w:pPr>
            <w:r w:rsidRPr="00751099">
              <w:rPr>
                <w:rFonts w:ascii="Century Gothic" w:hAnsi="Century Gothic"/>
                <w:i/>
                <w:iCs/>
                <w:sz w:val="20"/>
                <w:szCs w:val="20"/>
              </w:rPr>
              <w:t xml:space="preserve">(b) provide for water associated with Aboriginal cultural values and uses, </w:t>
            </w:r>
          </w:p>
          <w:p w14:paraId="4FE8C139" w14:textId="7E86F85C" w:rsidR="00986224" w:rsidRPr="00751099" w:rsidRDefault="00986224" w:rsidP="0063603D">
            <w:pPr>
              <w:ind w:left="720"/>
              <w:rPr>
                <w:rFonts w:ascii="Century Gothic" w:hAnsi="Century Gothic"/>
                <w:i/>
                <w:iCs/>
                <w:sz w:val="20"/>
                <w:szCs w:val="20"/>
              </w:rPr>
            </w:pPr>
            <w:r w:rsidRPr="00751099">
              <w:rPr>
                <w:rFonts w:ascii="Century Gothic" w:hAnsi="Century Gothic"/>
                <w:i/>
                <w:iCs/>
                <w:sz w:val="20"/>
                <w:szCs w:val="20"/>
              </w:rPr>
              <w:t xml:space="preserve">Note. The provisions in Part 7 provide opportunities for Aboriginal people to access water by allowing for the granting of an access licence of the subcategory “Aboriginal cultural”. </w:t>
            </w:r>
          </w:p>
          <w:p w14:paraId="352924EF" w14:textId="67596230" w:rsidR="00986224" w:rsidRPr="00751099" w:rsidRDefault="00986224" w:rsidP="00BA0CA6">
            <w:pPr>
              <w:ind w:left="720"/>
              <w:rPr>
                <w:rFonts w:ascii="Century Gothic" w:hAnsi="Century Gothic"/>
                <w:i/>
                <w:iCs/>
                <w:sz w:val="20"/>
                <w:szCs w:val="20"/>
              </w:rPr>
            </w:pPr>
            <w:r w:rsidRPr="00751099">
              <w:rPr>
                <w:rFonts w:ascii="Century Gothic" w:hAnsi="Century Gothic"/>
                <w:i/>
                <w:iCs/>
                <w:sz w:val="20"/>
                <w:szCs w:val="20"/>
              </w:rPr>
              <w:t xml:space="preserve">(c) reserve a share of water to partially mitigate alterations to natural flow regimes in the water sources, </w:t>
            </w:r>
          </w:p>
          <w:p w14:paraId="067AAEDB" w14:textId="77777777" w:rsidR="00986224" w:rsidRPr="00751099" w:rsidRDefault="00986224" w:rsidP="0063603D">
            <w:pPr>
              <w:ind w:left="720"/>
              <w:rPr>
                <w:rFonts w:ascii="Century Gothic" w:hAnsi="Century Gothic"/>
                <w:i/>
                <w:iCs/>
                <w:sz w:val="20"/>
                <w:szCs w:val="20"/>
              </w:rPr>
            </w:pPr>
            <w:r w:rsidRPr="00751099">
              <w:rPr>
                <w:rFonts w:ascii="Century Gothic" w:hAnsi="Century Gothic"/>
                <w:i/>
                <w:iCs/>
                <w:sz w:val="20"/>
                <w:szCs w:val="20"/>
              </w:rPr>
              <w:t xml:space="preserve">Note. The provisions in Division 1 and 2 of Part 10 partially mitigate alterations to natural flow regimes. </w:t>
            </w:r>
          </w:p>
          <w:p w14:paraId="39C47B6C" w14:textId="08F0BB22" w:rsidR="00986224" w:rsidRPr="00751099" w:rsidRDefault="00986224" w:rsidP="0063603D">
            <w:pPr>
              <w:ind w:left="720"/>
              <w:rPr>
                <w:rFonts w:ascii="Century Gothic" w:hAnsi="Century Gothic"/>
                <w:i/>
                <w:iCs/>
                <w:sz w:val="20"/>
                <w:szCs w:val="20"/>
              </w:rPr>
            </w:pPr>
            <w:r w:rsidRPr="00751099">
              <w:rPr>
                <w:rFonts w:ascii="Century Gothic" w:hAnsi="Century Gothic"/>
                <w:i/>
                <w:iCs/>
                <w:sz w:val="20"/>
                <w:szCs w:val="20"/>
              </w:rPr>
              <w:t xml:space="preserve">(d) reserve a share of water to maintain longitudinal and lateral connectivity within and between water sources. </w:t>
            </w:r>
          </w:p>
          <w:p w14:paraId="31AFCAC0" w14:textId="77777777" w:rsidR="0063603D" w:rsidRPr="00751099" w:rsidRDefault="0063603D" w:rsidP="00986224">
            <w:pPr>
              <w:rPr>
                <w:rFonts w:ascii="Century Gothic" w:hAnsi="Century Gothic"/>
                <w:i/>
                <w:iCs/>
                <w:sz w:val="20"/>
                <w:szCs w:val="20"/>
              </w:rPr>
            </w:pPr>
          </w:p>
          <w:p w14:paraId="39AEDCDC" w14:textId="7CDFD308" w:rsidR="00986224" w:rsidRPr="00751099" w:rsidRDefault="00986224" w:rsidP="00986224">
            <w:pPr>
              <w:rPr>
                <w:rFonts w:ascii="Century Gothic" w:hAnsi="Century Gothic"/>
                <w:i/>
                <w:iCs/>
                <w:sz w:val="20"/>
                <w:szCs w:val="20"/>
              </w:rPr>
            </w:pPr>
            <w:r w:rsidRPr="00751099">
              <w:rPr>
                <w:rFonts w:ascii="Century Gothic" w:hAnsi="Century Gothic"/>
                <w:i/>
                <w:iCs/>
                <w:sz w:val="20"/>
                <w:szCs w:val="20"/>
              </w:rPr>
              <w:t>(4) The performance indicator used to measure the success of the strategies for achieving the broad</w:t>
            </w:r>
            <w:r w:rsidR="009F44ED" w:rsidRPr="00751099">
              <w:rPr>
                <w:rFonts w:ascii="Century Gothic" w:hAnsi="Century Gothic"/>
                <w:i/>
                <w:iCs/>
                <w:sz w:val="20"/>
                <w:szCs w:val="20"/>
              </w:rPr>
              <w:t xml:space="preserve"> Aboriginal cultural objective in subclause (1) is an evaluation of the extent to which the combined outcomes of the targeted Aboriginal cultural objectives in subclause (2) have contributed to achieving the broad objective.</w:t>
            </w:r>
          </w:p>
          <w:p w14:paraId="4B404D3C" w14:textId="77777777" w:rsidR="0063603D" w:rsidRPr="00751099" w:rsidRDefault="0063603D" w:rsidP="009F44ED">
            <w:pPr>
              <w:rPr>
                <w:rFonts w:ascii="Century Gothic" w:hAnsi="Century Gothic"/>
                <w:i/>
                <w:iCs/>
                <w:sz w:val="20"/>
                <w:szCs w:val="20"/>
              </w:rPr>
            </w:pPr>
          </w:p>
          <w:p w14:paraId="26CF1108" w14:textId="55431ED7" w:rsidR="009F44ED" w:rsidRPr="00751099" w:rsidRDefault="009F44ED" w:rsidP="009F44ED">
            <w:pPr>
              <w:rPr>
                <w:rFonts w:ascii="Century Gothic" w:hAnsi="Century Gothic"/>
                <w:i/>
                <w:iCs/>
                <w:sz w:val="20"/>
                <w:szCs w:val="20"/>
              </w:rPr>
            </w:pPr>
            <w:r w:rsidRPr="00751099">
              <w:rPr>
                <w:rFonts w:ascii="Century Gothic" w:hAnsi="Century Gothic"/>
                <w:i/>
                <w:iCs/>
                <w:sz w:val="20"/>
                <w:szCs w:val="20"/>
              </w:rPr>
              <w:t xml:space="preserve">(5) The performance indicators used to measure the success of the strategies for achieving the targeted Aboriginal cultural objectives in subclause (2) are the changes or trends in Aboriginal cultural benefits during the term of this Plan as assessed using one or more of the following— </w:t>
            </w:r>
          </w:p>
          <w:p w14:paraId="70CD2A75" w14:textId="77777777" w:rsidR="009F44ED" w:rsidRPr="00751099" w:rsidRDefault="009F44ED" w:rsidP="0063603D">
            <w:pPr>
              <w:ind w:left="720"/>
              <w:rPr>
                <w:rFonts w:ascii="Century Gothic" w:hAnsi="Century Gothic"/>
                <w:i/>
                <w:iCs/>
                <w:sz w:val="20"/>
                <w:szCs w:val="20"/>
              </w:rPr>
            </w:pPr>
            <w:r w:rsidRPr="00751099">
              <w:rPr>
                <w:rFonts w:ascii="Century Gothic" w:hAnsi="Century Gothic"/>
                <w:i/>
                <w:iCs/>
                <w:sz w:val="20"/>
                <w:szCs w:val="20"/>
              </w:rPr>
              <w:t xml:space="preserve">(a) the use of water by Aboriginal people by measuring factors including— </w:t>
            </w:r>
          </w:p>
          <w:p w14:paraId="09E2C072" w14:textId="77777777" w:rsidR="009F44ED" w:rsidRPr="00751099" w:rsidRDefault="009F44ED" w:rsidP="0063603D">
            <w:pPr>
              <w:ind w:left="720"/>
              <w:rPr>
                <w:rFonts w:ascii="Century Gothic" w:hAnsi="Century Gothic"/>
                <w:i/>
                <w:iCs/>
                <w:sz w:val="20"/>
                <w:szCs w:val="20"/>
              </w:rPr>
            </w:pPr>
            <w:r w:rsidRPr="00751099">
              <w:rPr>
                <w:rFonts w:ascii="Century Gothic" w:hAnsi="Century Gothic"/>
                <w:i/>
                <w:iCs/>
                <w:sz w:val="20"/>
                <w:szCs w:val="20"/>
              </w:rPr>
              <w:t xml:space="preserve">(i) the extent to which native title rights are able to be exercised, consistently with any </w:t>
            </w:r>
          </w:p>
          <w:p w14:paraId="5AFD854B" w14:textId="77777777" w:rsidR="009F44ED" w:rsidRPr="00751099" w:rsidRDefault="009F44ED" w:rsidP="0063603D">
            <w:pPr>
              <w:ind w:left="720"/>
              <w:rPr>
                <w:rFonts w:ascii="Century Gothic" w:hAnsi="Century Gothic"/>
                <w:i/>
                <w:iCs/>
                <w:sz w:val="20"/>
                <w:szCs w:val="20"/>
              </w:rPr>
            </w:pPr>
            <w:r w:rsidRPr="00751099">
              <w:rPr>
                <w:rFonts w:ascii="Century Gothic" w:hAnsi="Century Gothic"/>
                <w:i/>
                <w:iCs/>
                <w:sz w:val="20"/>
                <w:szCs w:val="20"/>
              </w:rPr>
              <w:t xml:space="preserve">determination of native title or indigenous land use agreement, and </w:t>
            </w:r>
          </w:p>
          <w:p w14:paraId="4AEF6AB5" w14:textId="77777777" w:rsidR="009F44ED" w:rsidRPr="00751099" w:rsidRDefault="009F44ED" w:rsidP="0063603D">
            <w:pPr>
              <w:ind w:left="720"/>
              <w:rPr>
                <w:rFonts w:ascii="Century Gothic" w:hAnsi="Century Gothic"/>
                <w:i/>
                <w:iCs/>
                <w:sz w:val="20"/>
                <w:szCs w:val="20"/>
              </w:rPr>
            </w:pPr>
            <w:r w:rsidRPr="00751099">
              <w:rPr>
                <w:rFonts w:ascii="Century Gothic" w:hAnsi="Century Gothic"/>
                <w:i/>
                <w:iCs/>
                <w:sz w:val="20"/>
                <w:szCs w:val="20"/>
              </w:rPr>
              <w:t xml:space="preserve">(ii) the extent to which access to water has contributed to achieving Aboriginal cultural </w:t>
            </w:r>
          </w:p>
          <w:p w14:paraId="5DDD8123" w14:textId="77777777" w:rsidR="009F44ED" w:rsidRPr="00751099" w:rsidRDefault="009F44ED" w:rsidP="0063603D">
            <w:pPr>
              <w:ind w:left="720"/>
              <w:rPr>
                <w:rFonts w:ascii="Century Gothic" w:hAnsi="Century Gothic"/>
                <w:i/>
                <w:iCs/>
                <w:sz w:val="20"/>
                <w:szCs w:val="20"/>
              </w:rPr>
            </w:pPr>
            <w:r w:rsidRPr="00751099">
              <w:rPr>
                <w:rFonts w:ascii="Century Gothic" w:hAnsi="Century Gothic"/>
                <w:i/>
                <w:iCs/>
                <w:sz w:val="20"/>
                <w:szCs w:val="20"/>
              </w:rPr>
              <w:t xml:space="preserve">outcomes, </w:t>
            </w:r>
          </w:p>
          <w:p w14:paraId="15AFFE53" w14:textId="77777777" w:rsidR="009F44ED" w:rsidRPr="00751099" w:rsidRDefault="009F44ED" w:rsidP="0063603D">
            <w:pPr>
              <w:ind w:left="720"/>
              <w:rPr>
                <w:rFonts w:ascii="Century Gothic" w:hAnsi="Century Gothic"/>
                <w:i/>
                <w:iCs/>
                <w:sz w:val="20"/>
                <w:szCs w:val="20"/>
              </w:rPr>
            </w:pPr>
            <w:r w:rsidRPr="00751099">
              <w:rPr>
                <w:rFonts w:ascii="Century Gothic" w:hAnsi="Century Gothic"/>
                <w:i/>
                <w:iCs/>
                <w:sz w:val="20"/>
                <w:szCs w:val="20"/>
              </w:rPr>
              <w:t xml:space="preserve">(b) the recorded range or extent of target populations of native fish, </w:t>
            </w:r>
          </w:p>
          <w:p w14:paraId="1BBC6B21" w14:textId="77777777" w:rsidR="009F44ED" w:rsidRPr="00751099" w:rsidRDefault="009F44ED" w:rsidP="0063603D">
            <w:pPr>
              <w:ind w:left="720"/>
              <w:rPr>
                <w:rFonts w:ascii="Century Gothic" w:hAnsi="Century Gothic"/>
                <w:i/>
                <w:iCs/>
                <w:sz w:val="20"/>
                <w:szCs w:val="20"/>
              </w:rPr>
            </w:pPr>
            <w:r w:rsidRPr="00751099">
              <w:rPr>
                <w:rFonts w:ascii="Century Gothic" w:hAnsi="Century Gothic"/>
                <w:i/>
                <w:iCs/>
                <w:sz w:val="20"/>
                <w:szCs w:val="20"/>
              </w:rPr>
              <w:t xml:space="preserve">(c) the recorded range or condition of target populations of riparian vegetation, </w:t>
            </w:r>
          </w:p>
          <w:p w14:paraId="485E9F19" w14:textId="4122F5D8" w:rsidR="009F44ED" w:rsidRPr="00751099" w:rsidRDefault="009F44ED" w:rsidP="0063603D">
            <w:pPr>
              <w:ind w:left="720"/>
              <w:rPr>
                <w:rFonts w:ascii="Century Gothic" w:hAnsi="Century Gothic"/>
                <w:i/>
                <w:iCs/>
                <w:sz w:val="20"/>
                <w:szCs w:val="20"/>
              </w:rPr>
            </w:pPr>
            <w:r w:rsidRPr="00751099">
              <w:rPr>
                <w:rFonts w:ascii="Century Gothic" w:hAnsi="Century Gothic"/>
                <w:i/>
                <w:iCs/>
                <w:sz w:val="20"/>
                <w:szCs w:val="20"/>
              </w:rPr>
              <w:t xml:space="preserve">(d) the recorded values of water quality measurements including salinity, harmful algal blooms, total nitrogen, total phosphorus, pH, water temperature and dissolved oxygen. </w:t>
            </w:r>
          </w:p>
          <w:p w14:paraId="335310DA" w14:textId="77777777" w:rsidR="0063603D" w:rsidRPr="00751099" w:rsidRDefault="0063603D" w:rsidP="009F44ED">
            <w:pPr>
              <w:rPr>
                <w:rFonts w:ascii="Century Gothic" w:hAnsi="Century Gothic"/>
                <w:i/>
                <w:iCs/>
                <w:sz w:val="20"/>
                <w:szCs w:val="20"/>
              </w:rPr>
            </w:pPr>
          </w:p>
          <w:p w14:paraId="34D72585" w14:textId="448B694A" w:rsidR="009F44ED" w:rsidRPr="00751099" w:rsidRDefault="009F44ED" w:rsidP="009F44ED">
            <w:pPr>
              <w:rPr>
                <w:rFonts w:ascii="Century Gothic" w:hAnsi="Century Gothic"/>
                <w:i/>
                <w:iCs/>
                <w:sz w:val="20"/>
                <w:szCs w:val="20"/>
              </w:rPr>
            </w:pPr>
            <w:r w:rsidRPr="00751099">
              <w:rPr>
                <w:rFonts w:ascii="Century Gothic" w:hAnsi="Century Gothic"/>
                <w:i/>
                <w:iCs/>
                <w:sz w:val="20"/>
                <w:szCs w:val="20"/>
              </w:rPr>
              <w:t xml:space="preserve">(6) In evaluating the effectiveness of the strategies in meeting the objectives of this clause, the following will be relevant— </w:t>
            </w:r>
          </w:p>
          <w:p w14:paraId="41530BEE" w14:textId="5E6D244D" w:rsidR="009F44ED" w:rsidRPr="00751099" w:rsidRDefault="009F44ED" w:rsidP="0063603D">
            <w:pPr>
              <w:ind w:left="720"/>
              <w:rPr>
                <w:rFonts w:ascii="Century Gothic" w:hAnsi="Century Gothic"/>
                <w:i/>
                <w:iCs/>
                <w:sz w:val="20"/>
                <w:szCs w:val="20"/>
              </w:rPr>
            </w:pPr>
            <w:r w:rsidRPr="00751099">
              <w:rPr>
                <w:rFonts w:ascii="Century Gothic" w:hAnsi="Century Gothic"/>
                <w:i/>
                <w:iCs/>
                <w:sz w:val="20"/>
                <w:szCs w:val="20"/>
              </w:rPr>
              <w:t xml:space="preserve">(a) the extent to which the strategies in subclause (3) and provisions in this Plan have been implemented and complied with, </w:t>
            </w:r>
          </w:p>
          <w:p w14:paraId="7B304ED6" w14:textId="51EC30AA" w:rsidR="009F44ED" w:rsidRPr="00751099" w:rsidRDefault="009F44ED" w:rsidP="0063603D">
            <w:pPr>
              <w:ind w:left="720"/>
              <w:rPr>
                <w:rFonts w:ascii="Century Gothic" w:hAnsi="Century Gothic"/>
                <w:i/>
                <w:iCs/>
                <w:sz w:val="20"/>
                <w:szCs w:val="20"/>
              </w:rPr>
            </w:pPr>
            <w:r w:rsidRPr="00751099">
              <w:rPr>
                <w:rFonts w:ascii="Century Gothic" w:hAnsi="Century Gothic"/>
                <w:i/>
                <w:iCs/>
                <w:sz w:val="20"/>
                <w:szCs w:val="20"/>
              </w:rPr>
              <w:t xml:space="preserve">(b) the extent to which changes in the performance indicators can be attributed to the strategies in subclause (3) and provisions in this Plan, </w:t>
            </w:r>
          </w:p>
          <w:p w14:paraId="3C2FA7FA" w14:textId="600A77F1" w:rsidR="009F44ED" w:rsidRPr="00751099" w:rsidRDefault="009F44ED" w:rsidP="0063603D">
            <w:pPr>
              <w:ind w:left="720"/>
              <w:rPr>
                <w:rFonts w:ascii="Century Gothic" w:hAnsi="Century Gothic"/>
                <w:i/>
                <w:iCs/>
                <w:sz w:val="20"/>
                <w:szCs w:val="20"/>
              </w:rPr>
            </w:pPr>
            <w:r w:rsidRPr="00751099">
              <w:rPr>
                <w:rFonts w:ascii="Century Gothic" w:hAnsi="Century Gothic"/>
                <w:i/>
                <w:iCs/>
                <w:sz w:val="20"/>
                <w:szCs w:val="20"/>
              </w:rPr>
              <w:t xml:space="preserve">(c) the extent to which the strategies in subclause (3) support achievement of the Aboriginal cultural objectives, </w:t>
            </w:r>
          </w:p>
          <w:p w14:paraId="7C027F93" w14:textId="287E727B" w:rsidR="009F44ED" w:rsidRPr="00751099" w:rsidRDefault="009F44ED" w:rsidP="0063603D">
            <w:pPr>
              <w:ind w:left="720"/>
              <w:rPr>
                <w:rFonts w:ascii="Century Gothic" w:hAnsi="Century Gothic"/>
                <w:i/>
                <w:iCs/>
                <w:sz w:val="20"/>
                <w:szCs w:val="20"/>
              </w:rPr>
            </w:pPr>
            <w:r w:rsidRPr="00751099">
              <w:rPr>
                <w:rFonts w:ascii="Century Gothic" w:hAnsi="Century Gothic"/>
                <w:i/>
                <w:iCs/>
                <w:sz w:val="20"/>
                <w:szCs w:val="20"/>
              </w:rPr>
              <w:t xml:space="preserve">(d) the water made available for Aboriginal cultural values and uses during the term of this Plan through available water determinations and the granting of new access licences, </w:t>
            </w:r>
          </w:p>
          <w:p w14:paraId="328935C7" w14:textId="14550677" w:rsidR="009F44ED" w:rsidRPr="00751099" w:rsidRDefault="009F44ED" w:rsidP="0063603D">
            <w:pPr>
              <w:ind w:left="720"/>
              <w:rPr>
                <w:rFonts w:ascii="Century Gothic" w:hAnsi="Century Gothic"/>
                <w:i/>
                <w:iCs/>
                <w:sz w:val="20"/>
                <w:szCs w:val="20"/>
              </w:rPr>
            </w:pPr>
            <w:r w:rsidRPr="00751099">
              <w:rPr>
                <w:rFonts w:ascii="Century Gothic" w:hAnsi="Century Gothic"/>
                <w:i/>
                <w:iCs/>
                <w:sz w:val="20"/>
                <w:szCs w:val="20"/>
              </w:rPr>
              <w:t>(e) the extent to which external influences on surface water-dependent Aboriginal cultural activities during the term of this Plan have affected progress towards achieving the Aboriginal cultural objectives.</w:t>
            </w:r>
          </w:p>
        </w:tc>
      </w:tr>
    </w:tbl>
    <w:p w14:paraId="6DBAB45F" w14:textId="77777777" w:rsidR="00B66A06" w:rsidRDefault="00B66A06" w:rsidP="00173ED1">
      <w:pPr>
        <w:rPr>
          <w:rFonts w:ascii="Century Gothic" w:hAnsi="Century Gothic"/>
          <w:sz w:val="20"/>
          <w:szCs w:val="20"/>
        </w:rPr>
      </w:pPr>
    </w:p>
    <w:p w14:paraId="4A9DC74A" w14:textId="4003D2CC" w:rsidR="00121C37" w:rsidRPr="00751099" w:rsidRDefault="00F5664F" w:rsidP="00173ED1">
      <w:pPr>
        <w:rPr>
          <w:rFonts w:ascii="Century Gothic" w:hAnsi="Century Gothic"/>
          <w:sz w:val="20"/>
          <w:szCs w:val="20"/>
        </w:rPr>
      </w:pPr>
      <w:r w:rsidRPr="00751099">
        <w:rPr>
          <w:rFonts w:ascii="Century Gothic" w:hAnsi="Century Gothic"/>
          <w:sz w:val="20"/>
          <w:szCs w:val="20"/>
        </w:rPr>
        <w:t>This includes the ability for the Minister to grant access licences</w:t>
      </w:r>
      <w:r w:rsidR="00121C37" w:rsidRPr="00751099">
        <w:rPr>
          <w:rFonts w:ascii="Century Gothic" w:hAnsi="Century Gothic"/>
          <w:sz w:val="20"/>
          <w:szCs w:val="20"/>
        </w:rPr>
        <w:t xml:space="preserve"> for Aboriginal cultural purposes.</w:t>
      </w:r>
    </w:p>
    <w:tbl>
      <w:tblPr>
        <w:tblStyle w:val="TableGrid"/>
        <w:tblW w:w="0" w:type="auto"/>
        <w:tblLook w:val="04A0" w:firstRow="1" w:lastRow="0" w:firstColumn="1" w:lastColumn="0" w:noHBand="0" w:noVBand="1"/>
      </w:tblPr>
      <w:tblGrid>
        <w:gridCol w:w="9016"/>
      </w:tblGrid>
      <w:tr w:rsidR="00121C37" w:rsidRPr="00751099" w14:paraId="0B35C24D" w14:textId="77777777" w:rsidTr="00016700">
        <w:tc>
          <w:tcPr>
            <w:tcW w:w="9016" w:type="dxa"/>
            <w:shd w:val="clear" w:color="auto" w:fill="F2F2F2" w:themeFill="background1" w:themeFillShade="F2"/>
          </w:tcPr>
          <w:p w14:paraId="73C7D460" w14:textId="77777777" w:rsidR="00121C37" w:rsidRPr="00751099" w:rsidRDefault="00B156B8" w:rsidP="00173ED1">
            <w:pPr>
              <w:rPr>
                <w:rFonts w:ascii="Century Gothic" w:hAnsi="Century Gothic"/>
                <w:sz w:val="20"/>
                <w:szCs w:val="20"/>
              </w:rPr>
            </w:pPr>
            <w:r w:rsidRPr="00751099">
              <w:rPr>
                <w:rFonts w:ascii="Century Gothic" w:hAnsi="Century Gothic"/>
                <w:sz w:val="20"/>
                <w:szCs w:val="20"/>
              </w:rPr>
              <w:t>41 Specific purpose access licences</w:t>
            </w:r>
          </w:p>
          <w:p w14:paraId="1CBD0304" w14:textId="77777777" w:rsidR="00B156B8" w:rsidRPr="00751099" w:rsidRDefault="00B156B8" w:rsidP="00173ED1">
            <w:pPr>
              <w:rPr>
                <w:rFonts w:ascii="Century Gothic" w:hAnsi="Century Gothic"/>
                <w:sz w:val="20"/>
                <w:szCs w:val="20"/>
              </w:rPr>
            </w:pPr>
          </w:p>
          <w:p w14:paraId="356E2ECA" w14:textId="77777777" w:rsidR="00B156B8" w:rsidRPr="00751099" w:rsidRDefault="00B156B8" w:rsidP="00173ED1">
            <w:pPr>
              <w:rPr>
                <w:rFonts w:ascii="Century Gothic" w:hAnsi="Century Gothic"/>
                <w:sz w:val="20"/>
                <w:szCs w:val="20"/>
              </w:rPr>
            </w:pPr>
            <w:r w:rsidRPr="00751099">
              <w:rPr>
                <w:rFonts w:ascii="Century Gothic" w:hAnsi="Century Gothic"/>
                <w:sz w:val="20"/>
                <w:szCs w:val="20"/>
              </w:rPr>
              <w:t xml:space="preserve">(2) A person may make an application for a </w:t>
            </w:r>
            <w:r w:rsidRPr="00751099">
              <w:rPr>
                <w:rFonts w:ascii="Century Gothic" w:hAnsi="Century Gothic"/>
                <w:b/>
                <w:bCs/>
                <w:sz w:val="20"/>
                <w:szCs w:val="20"/>
              </w:rPr>
              <w:t>regulated river (high security) (Aboriginal cultural) access licence</w:t>
            </w:r>
            <w:r w:rsidRPr="00751099">
              <w:rPr>
                <w:rFonts w:ascii="Century Gothic" w:hAnsi="Century Gothic"/>
                <w:sz w:val="20"/>
                <w:szCs w:val="20"/>
              </w:rPr>
              <w:t xml:space="preserve"> only if the share component of the proposed access licence is no greater than 10 ML/year.</w:t>
            </w:r>
          </w:p>
          <w:p w14:paraId="7E13DA67" w14:textId="77777777" w:rsidR="00B156B8" w:rsidRPr="00751099" w:rsidRDefault="00B156B8" w:rsidP="00173ED1">
            <w:pPr>
              <w:rPr>
                <w:rFonts w:ascii="Century Gothic" w:hAnsi="Century Gothic"/>
                <w:sz w:val="20"/>
                <w:szCs w:val="20"/>
              </w:rPr>
            </w:pPr>
          </w:p>
          <w:p w14:paraId="07BAE44A" w14:textId="77777777" w:rsidR="00B156B8" w:rsidRPr="00751099" w:rsidRDefault="00B156B8" w:rsidP="00B156B8">
            <w:pPr>
              <w:rPr>
                <w:rFonts w:ascii="Century Gothic" w:hAnsi="Century Gothic"/>
                <w:sz w:val="20"/>
                <w:szCs w:val="20"/>
              </w:rPr>
            </w:pPr>
            <w:r w:rsidRPr="00751099">
              <w:rPr>
                <w:rFonts w:ascii="Century Gothic" w:hAnsi="Century Gothic"/>
                <w:sz w:val="20"/>
                <w:szCs w:val="20"/>
              </w:rPr>
              <w:t xml:space="preserve">(3) The Minister may only grant a regulated river (high security) (Aboriginal cultural) access </w:t>
            </w:r>
          </w:p>
          <w:p w14:paraId="27D4B045" w14:textId="77777777" w:rsidR="00B156B8" w:rsidRPr="00751099" w:rsidRDefault="00B156B8" w:rsidP="00B156B8">
            <w:pPr>
              <w:rPr>
                <w:rFonts w:ascii="Century Gothic" w:hAnsi="Century Gothic"/>
                <w:sz w:val="20"/>
                <w:szCs w:val="20"/>
              </w:rPr>
            </w:pPr>
            <w:r w:rsidRPr="00751099">
              <w:rPr>
                <w:rFonts w:ascii="Century Gothic" w:hAnsi="Century Gothic"/>
                <w:sz w:val="20"/>
                <w:szCs w:val="20"/>
              </w:rPr>
              <w:t xml:space="preserve">licence if— </w:t>
            </w:r>
          </w:p>
          <w:p w14:paraId="257B0230" w14:textId="77777777" w:rsidR="00B156B8" w:rsidRPr="00751099" w:rsidRDefault="00B156B8" w:rsidP="00B156B8">
            <w:pPr>
              <w:rPr>
                <w:rFonts w:ascii="Century Gothic" w:hAnsi="Century Gothic"/>
                <w:sz w:val="20"/>
                <w:szCs w:val="20"/>
              </w:rPr>
            </w:pPr>
            <w:r w:rsidRPr="00751099">
              <w:rPr>
                <w:rFonts w:ascii="Century Gothic" w:hAnsi="Century Gothic"/>
                <w:sz w:val="20"/>
                <w:szCs w:val="20"/>
              </w:rPr>
              <w:t xml:space="preserve">(a) the licence is primarily for the taking of water by an Aboriginal person or Aboriginal </w:t>
            </w:r>
          </w:p>
          <w:p w14:paraId="7B0FAAF9" w14:textId="77777777" w:rsidR="00B156B8" w:rsidRPr="00751099" w:rsidRDefault="00B156B8" w:rsidP="00B156B8">
            <w:pPr>
              <w:rPr>
                <w:rFonts w:ascii="Century Gothic" w:hAnsi="Century Gothic"/>
                <w:sz w:val="20"/>
                <w:szCs w:val="20"/>
              </w:rPr>
            </w:pPr>
            <w:r w:rsidRPr="00751099">
              <w:rPr>
                <w:rFonts w:ascii="Century Gothic" w:hAnsi="Century Gothic"/>
                <w:sz w:val="20"/>
                <w:szCs w:val="20"/>
              </w:rPr>
              <w:t xml:space="preserve">community for personal, domestic or communal purposes, including the following— </w:t>
            </w:r>
          </w:p>
          <w:p w14:paraId="231F13DC" w14:textId="28001E27" w:rsidR="00B156B8" w:rsidRPr="00751099" w:rsidRDefault="00B156B8" w:rsidP="00B156B8">
            <w:pPr>
              <w:rPr>
                <w:rFonts w:ascii="Century Gothic" w:hAnsi="Century Gothic"/>
                <w:sz w:val="20"/>
                <w:szCs w:val="20"/>
              </w:rPr>
            </w:pPr>
            <w:r w:rsidRPr="00751099">
              <w:rPr>
                <w:rFonts w:ascii="Century Gothic" w:hAnsi="Century Gothic"/>
                <w:sz w:val="20"/>
                <w:szCs w:val="20"/>
              </w:rPr>
              <w:t xml:space="preserve">(i) drinking and food preparation, </w:t>
            </w:r>
          </w:p>
          <w:p w14:paraId="7A49AD12" w14:textId="31EC2F7B" w:rsidR="00B156B8" w:rsidRPr="00751099" w:rsidRDefault="00B156B8" w:rsidP="00B156B8">
            <w:pPr>
              <w:rPr>
                <w:rFonts w:ascii="Century Gothic" w:hAnsi="Century Gothic"/>
                <w:sz w:val="20"/>
                <w:szCs w:val="20"/>
              </w:rPr>
            </w:pPr>
            <w:r w:rsidRPr="00751099">
              <w:rPr>
                <w:rFonts w:ascii="Century Gothic" w:hAnsi="Century Gothic"/>
                <w:sz w:val="20"/>
                <w:szCs w:val="20"/>
              </w:rPr>
              <w:t xml:space="preserve">(ii) washing, </w:t>
            </w:r>
          </w:p>
          <w:p w14:paraId="778176AF" w14:textId="2B4D29A3" w:rsidR="00B156B8" w:rsidRPr="00751099" w:rsidRDefault="00B156B8" w:rsidP="00B156B8">
            <w:pPr>
              <w:rPr>
                <w:rFonts w:ascii="Century Gothic" w:hAnsi="Century Gothic"/>
                <w:sz w:val="20"/>
                <w:szCs w:val="20"/>
              </w:rPr>
            </w:pPr>
            <w:r w:rsidRPr="00751099">
              <w:rPr>
                <w:rFonts w:ascii="Century Gothic" w:hAnsi="Century Gothic"/>
                <w:sz w:val="20"/>
                <w:szCs w:val="20"/>
              </w:rPr>
              <w:t xml:space="preserve">(iii) manufacturing traditional artefacts, </w:t>
            </w:r>
          </w:p>
          <w:p w14:paraId="3CB30E30" w14:textId="0BFD773F" w:rsidR="00B156B8" w:rsidRPr="00751099" w:rsidRDefault="00B156B8" w:rsidP="00B156B8">
            <w:pPr>
              <w:rPr>
                <w:rFonts w:ascii="Century Gothic" w:hAnsi="Century Gothic"/>
                <w:sz w:val="20"/>
                <w:szCs w:val="20"/>
              </w:rPr>
            </w:pPr>
            <w:r w:rsidRPr="00751099">
              <w:rPr>
                <w:rFonts w:ascii="Century Gothic" w:hAnsi="Century Gothic"/>
                <w:sz w:val="20"/>
                <w:szCs w:val="20"/>
              </w:rPr>
              <w:t xml:space="preserve">(iv) watering domestic gardens, </w:t>
            </w:r>
          </w:p>
          <w:p w14:paraId="3C340F98" w14:textId="26A7E48C" w:rsidR="00B156B8" w:rsidRPr="00751099" w:rsidRDefault="00B156B8" w:rsidP="00B156B8">
            <w:pPr>
              <w:rPr>
                <w:rFonts w:ascii="Century Gothic" w:hAnsi="Century Gothic"/>
                <w:sz w:val="20"/>
                <w:szCs w:val="20"/>
              </w:rPr>
            </w:pPr>
            <w:r w:rsidRPr="00751099">
              <w:rPr>
                <w:rFonts w:ascii="Century Gothic" w:hAnsi="Century Gothic"/>
                <w:sz w:val="20"/>
                <w:szCs w:val="20"/>
              </w:rPr>
              <w:t xml:space="preserve">(v) cultural teaching, </w:t>
            </w:r>
          </w:p>
          <w:p w14:paraId="344710FD" w14:textId="2CED6044" w:rsidR="00B156B8" w:rsidRPr="00751099" w:rsidRDefault="00B156B8" w:rsidP="00B156B8">
            <w:pPr>
              <w:rPr>
                <w:rFonts w:ascii="Century Gothic" w:hAnsi="Century Gothic"/>
                <w:sz w:val="20"/>
                <w:szCs w:val="20"/>
              </w:rPr>
            </w:pPr>
            <w:r w:rsidRPr="00751099">
              <w:rPr>
                <w:rFonts w:ascii="Century Gothic" w:hAnsi="Century Gothic"/>
                <w:sz w:val="20"/>
                <w:szCs w:val="20"/>
              </w:rPr>
              <w:t xml:space="preserve">(vi) hunting, fishing and gathering, </w:t>
            </w:r>
          </w:p>
          <w:p w14:paraId="31A21384" w14:textId="16A9EAFA" w:rsidR="00B156B8" w:rsidRPr="00751099" w:rsidRDefault="00B156B8" w:rsidP="00B156B8">
            <w:pPr>
              <w:rPr>
                <w:rFonts w:ascii="Century Gothic" w:hAnsi="Century Gothic"/>
                <w:sz w:val="20"/>
                <w:szCs w:val="20"/>
              </w:rPr>
            </w:pPr>
            <w:r w:rsidRPr="00751099">
              <w:rPr>
                <w:rFonts w:ascii="Century Gothic" w:hAnsi="Century Gothic"/>
                <w:sz w:val="20"/>
                <w:szCs w:val="20"/>
              </w:rPr>
              <w:t>(vii) traditional food production</w:t>
            </w:r>
          </w:p>
          <w:p w14:paraId="31D38B7E" w14:textId="77777777" w:rsidR="00B156B8" w:rsidRPr="00751099" w:rsidRDefault="00B156B8" w:rsidP="00B156B8">
            <w:pPr>
              <w:rPr>
                <w:rFonts w:ascii="Century Gothic" w:hAnsi="Century Gothic"/>
                <w:sz w:val="20"/>
                <w:szCs w:val="20"/>
              </w:rPr>
            </w:pPr>
            <w:r w:rsidRPr="00751099">
              <w:rPr>
                <w:rFonts w:ascii="Century Gothic" w:hAnsi="Century Gothic"/>
                <w:sz w:val="20"/>
                <w:szCs w:val="20"/>
              </w:rPr>
              <w:t xml:space="preserve">(viii) purposes to achieve environmental outcomes, </w:t>
            </w:r>
          </w:p>
          <w:p w14:paraId="0874FDB5" w14:textId="067BF345" w:rsidR="00B156B8" w:rsidRPr="00751099" w:rsidRDefault="00B156B8" w:rsidP="00B156B8">
            <w:pPr>
              <w:rPr>
                <w:rFonts w:ascii="Century Gothic" w:hAnsi="Century Gothic"/>
                <w:sz w:val="20"/>
                <w:szCs w:val="20"/>
              </w:rPr>
            </w:pPr>
            <w:r w:rsidRPr="00751099">
              <w:rPr>
                <w:rFonts w:ascii="Century Gothic" w:hAnsi="Century Gothic"/>
                <w:sz w:val="20"/>
                <w:szCs w:val="20"/>
              </w:rPr>
              <w:t>(ix) recreational, cultural and ceremonial purposes, and</w:t>
            </w:r>
          </w:p>
        </w:tc>
      </w:tr>
    </w:tbl>
    <w:p w14:paraId="0A2D468E" w14:textId="77777777" w:rsidR="00121C37" w:rsidRPr="00751099" w:rsidRDefault="00121C37" w:rsidP="00173ED1">
      <w:pPr>
        <w:rPr>
          <w:rFonts w:ascii="Century Gothic" w:hAnsi="Century Gothic"/>
          <w:sz w:val="20"/>
          <w:szCs w:val="20"/>
        </w:rPr>
      </w:pPr>
    </w:p>
    <w:p w14:paraId="1C950A0C" w14:textId="274A0C7A" w:rsidR="00FA5849" w:rsidRPr="00751099" w:rsidRDefault="007C2122" w:rsidP="00263FEC">
      <w:pPr>
        <w:rPr>
          <w:rFonts w:ascii="Century Gothic" w:hAnsi="Century Gothic"/>
          <w:sz w:val="20"/>
          <w:szCs w:val="20"/>
        </w:rPr>
      </w:pPr>
      <w:r w:rsidRPr="00751099">
        <w:rPr>
          <w:rFonts w:ascii="Century Gothic" w:hAnsi="Century Gothic"/>
          <w:sz w:val="20"/>
          <w:szCs w:val="20"/>
        </w:rPr>
        <w:lastRenderedPageBreak/>
        <w:t>These</w:t>
      </w:r>
      <w:r w:rsidR="00CD632E" w:rsidRPr="00751099">
        <w:rPr>
          <w:rFonts w:ascii="Century Gothic" w:hAnsi="Century Gothic"/>
          <w:sz w:val="20"/>
          <w:szCs w:val="20"/>
        </w:rPr>
        <w:t xml:space="preserve"> Aboriginal cultural</w:t>
      </w:r>
      <w:r w:rsidRPr="00751099">
        <w:rPr>
          <w:rFonts w:ascii="Century Gothic" w:hAnsi="Century Gothic"/>
          <w:sz w:val="20"/>
          <w:szCs w:val="20"/>
        </w:rPr>
        <w:t xml:space="preserve"> licences receive a 100% water allocation, making them one of the highest security water licences. It is acknowledged that the processes for seeking these licences </w:t>
      </w:r>
      <w:r w:rsidR="00CD632E" w:rsidRPr="00751099">
        <w:rPr>
          <w:rFonts w:ascii="Century Gothic" w:hAnsi="Century Gothic"/>
          <w:sz w:val="20"/>
          <w:szCs w:val="20"/>
        </w:rPr>
        <w:t>have</w:t>
      </w:r>
      <w:r w:rsidRPr="00751099">
        <w:rPr>
          <w:rFonts w:ascii="Century Gothic" w:hAnsi="Century Gothic"/>
          <w:sz w:val="20"/>
          <w:szCs w:val="20"/>
        </w:rPr>
        <w:t xml:space="preserve"> been challenging. </w:t>
      </w:r>
    </w:p>
    <w:p w14:paraId="48B8F16C" w14:textId="0808B1C6" w:rsidR="00A24C4D" w:rsidRDefault="00A24C4D" w:rsidP="00263FEC">
      <w:pPr>
        <w:rPr>
          <w:rFonts w:ascii="Century Gothic" w:hAnsi="Century Gothic"/>
          <w:sz w:val="20"/>
          <w:szCs w:val="20"/>
        </w:rPr>
      </w:pPr>
      <w:r w:rsidRPr="00751099">
        <w:rPr>
          <w:rFonts w:ascii="Century Gothic" w:hAnsi="Century Gothic"/>
          <w:sz w:val="20"/>
          <w:szCs w:val="20"/>
        </w:rPr>
        <w:t>This is not to say that</w:t>
      </w:r>
      <w:r w:rsidR="003C25D1" w:rsidRPr="00751099">
        <w:rPr>
          <w:rFonts w:ascii="Century Gothic" w:hAnsi="Century Gothic"/>
          <w:sz w:val="20"/>
          <w:szCs w:val="20"/>
        </w:rPr>
        <w:t xml:space="preserve"> </w:t>
      </w:r>
      <w:r w:rsidR="005A6F4C" w:rsidRPr="00751099">
        <w:rPr>
          <w:rFonts w:ascii="Century Gothic" w:hAnsi="Century Gothic"/>
          <w:sz w:val="20"/>
          <w:szCs w:val="20"/>
        </w:rPr>
        <w:t>no change is needed</w:t>
      </w:r>
      <w:r w:rsidR="003C25D1" w:rsidRPr="00751099">
        <w:rPr>
          <w:rFonts w:ascii="Century Gothic" w:hAnsi="Century Gothic"/>
          <w:sz w:val="20"/>
          <w:szCs w:val="20"/>
        </w:rPr>
        <w:t xml:space="preserve"> – evidently First Nations people are not satisfied by current arrangements. However, </w:t>
      </w:r>
      <w:r w:rsidR="005A6F4C" w:rsidRPr="00751099">
        <w:rPr>
          <w:rFonts w:ascii="Century Gothic" w:hAnsi="Century Gothic"/>
          <w:sz w:val="20"/>
          <w:szCs w:val="20"/>
        </w:rPr>
        <w:t xml:space="preserve">a proper understanding of the status quo is crucial to identify the right problem-definition and thus ways forward. </w:t>
      </w:r>
    </w:p>
    <w:p w14:paraId="070B1622" w14:textId="52855DB1" w:rsidR="00AE37E8" w:rsidRPr="00751099" w:rsidRDefault="00AE37E8" w:rsidP="00263FEC">
      <w:pPr>
        <w:rPr>
          <w:rFonts w:ascii="Century Gothic" w:hAnsi="Century Gothic"/>
          <w:sz w:val="20"/>
          <w:szCs w:val="20"/>
        </w:rPr>
      </w:pPr>
      <w:r w:rsidRPr="00D91812">
        <w:rPr>
          <w:rFonts w:ascii="Century Gothic" w:hAnsi="Century Gothic"/>
          <w:b/>
          <w:bCs/>
          <w:sz w:val="20"/>
          <w:szCs w:val="20"/>
        </w:rPr>
        <w:t>NIC recommend</w:t>
      </w:r>
      <w:r w:rsidRPr="00751099">
        <w:rPr>
          <w:rFonts w:ascii="Century Gothic" w:hAnsi="Century Gothic"/>
          <w:sz w:val="20"/>
          <w:szCs w:val="20"/>
        </w:rPr>
        <w:t xml:space="preserve"> that as part of further consultation:</w:t>
      </w:r>
    </w:p>
    <w:p w14:paraId="740A3F38" w14:textId="21C27D76" w:rsidR="00AE37E8" w:rsidRPr="00751099" w:rsidRDefault="00AE37E8" w:rsidP="00AE37E8">
      <w:pPr>
        <w:pStyle w:val="ListParagraph"/>
        <w:numPr>
          <w:ilvl w:val="0"/>
          <w:numId w:val="37"/>
        </w:numPr>
        <w:rPr>
          <w:rFonts w:ascii="Century Gothic" w:hAnsi="Century Gothic"/>
          <w:sz w:val="20"/>
          <w:szCs w:val="20"/>
        </w:rPr>
      </w:pPr>
      <w:r w:rsidRPr="00751099">
        <w:rPr>
          <w:rFonts w:ascii="Century Gothic" w:hAnsi="Century Gothic"/>
          <w:sz w:val="20"/>
          <w:szCs w:val="20"/>
        </w:rPr>
        <w:t>The current rights</w:t>
      </w:r>
      <w:r w:rsidR="003C2CDE" w:rsidRPr="00751099">
        <w:rPr>
          <w:rFonts w:ascii="Century Gothic" w:hAnsi="Century Gothic"/>
          <w:sz w:val="20"/>
          <w:szCs w:val="20"/>
        </w:rPr>
        <w:t xml:space="preserve"> and</w:t>
      </w:r>
      <w:r w:rsidRPr="00751099">
        <w:rPr>
          <w:rFonts w:ascii="Century Gothic" w:hAnsi="Century Gothic"/>
          <w:sz w:val="20"/>
          <w:szCs w:val="20"/>
        </w:rPr>
        <w:t xml:space="preserve"> arrangements</w:t>
      </w:r>
      <w:r w:rsidR="00C760B5" w:rsidRPr="00751099">
        <w:rPr>
          <w:rFonts w:ascii="Century Gothic" w:hAnsi="Century Gothic"/>
          <w:sz w:val="20"/>
          <w:szCs w:val="20"/>
        </w:rPr>
        <w:t xml:space="preserve"> across instruments</w:t>
      </w:r>
      <w:r w:rsidR="003A1626" w:rsidRPr="00751099">
        <w:rPr>
          <w:rFonts w:ascii="Century Gothic" w:hAnsi="Century Gothic"/>
          <w:sz w:val="20"/>
          <w:szCs w:val="20"/>
        </w:rPr>
        <w:t xml:space="preserve"> (State and Federal)</w:t>
      </w:r>
      <w:r w:rsidR="003C2CDE" w:rsidRPr="00751099">
        <w:rPr>
          <w:rFonts w:ascii="Century Gothic" w:hAnsi="Century Gothic"/>
          <w:sz w:val="20"/>
          <w:szCs w:val="20"/>
        </w:rPr>
        <w:t xml:space="preserve"> are comprehensively documented in consultation materials;</w:t>
      </w:r>
    </w:p>
    <w:p w14:paraId="05D17EFF" w14:textId="32503D4B" w:rsidR="00FA5849" w:rsidRPr="00D91812" w:rsidRDefault="003C2CDE" w:rsidP="00263FEC">
      <w:pPr>
        <w:pStyle w:val="ListParagraph"/>
        <w:numPr>
          <w:ilvl w:val="0"/>
          <w:numId w:val="37"/>
        </w:numPr>
        <w:rPr>
          <w:rFonts w:ascii="Century Gothic" w:hAnsi="Century Gothic"/>
          <w:sz w:val="20"/>
          <w:szCs w:val="20"/>
        </w:rPr>
      </w:pPr>
      <w:r w:rsidRPr="00751099">
        <w:rPr>
          <w:rFonts w:ascii="Century Gothic" w:hAnsi="Century Gothic"/>
          <w:sz w:val="20"/>
          <w:szCs w:val="20"/>
        </w:rPr>
        <w:t xml:space="preserve">The specific issues with the status quo are documented (such as processes being timely or difficult to navigate, the ongoing expenses of entitlements, etc) to ensure </w:t>
      </w:r>
      <w:r w:rsidR="00C760B5" w:rsidRPr="00751099">
        <w:rPr>
          <w:rFonts w:ascii="Century Gothic" w:hAnsi="Century Gothic"/>
          <w:sz w:val="20"/>
          <w:szCs w:val="20"/>
        </w:rPr>
        <w:t xml:space="preserve">the right problem-definition is </w:t>
      </w:r>
      <w:r w:rsidR="005E6D25" w:rsidRPr="00751099">
        <w:rPr>
          <w:rFonts w:ascii="Century Gothic" w:hAnsi="Century Gothic"/>
          <w:sz w:val="20"/>
          <w:szCs w:val="20"/>
        </w:rPr>
        <w:t>established</w:t>
      </w:r>
      <w:r w:rsidR="005E6D25">
        <w:rPr>
          <w:rFonts w:ascii="Century Gothic" w:hAnsi="Century Gothic"/>
          <w:sz w:val="20"/>
          <w:szCs w:val="20"/>
        </w:rPr>
        <w:t>.</w:t>
      </w:r>
    </w:p>
    <w:p w14:paraId="60A25E77" w14:textId="463674D0" w:rsidR="00A04763" w:rsidRDefault="00A04763" w:rsidP="00C315CE">
      <w:pPr>
        <w:pStyle w:val="Heading2"/>
        <w:rPr>
          <w:rFonts w:ascii="Century Gothic" w:hAnsi="Century Gothic"/>
          <w:sz w:val="28"/>
          <w:szCs w:val="28"/>
        </w:rPr>
      </w:pPr>
      <w:bookmarkStart w:id="11" w:name="_Toc233372730"/>
      <w:r>
        <w:rPr>
          <w:rFonts w:ascii="Century Gothic" w:hAnsi="Century Gothic"/>
          <w:sz w:val="28"/>
          <w:szCs w:val="28"/>
        </w:rPr>
        <w:t>Need for a solutions-focus</w:t>
      </w:r>
      <w:bookmarkEnd w:id="11"/>
    </w:p>
    <w:p w14:paraId="65D52837" w14:textId="317549EE" w:rsidR="00A04763" w:rsidRDefault="00A04763" w:rsidP="00A04763">
      <w:pPr>
        <w:rPr>
          <w:rFonts w:ascii="Century Gothic" w:hAnsi="Century Gothic"/>
          <w:sz w:val="20"/>
          <w:szCs w:val="20"/>
        </w:rPr>
      </w:pPr>
      <w:r w:rsidRPr="00A04763">
        <w:rPr>
          <w:rFonts w:ascii="Century Gothic" w:hAnsi="Century Gothic"/>
          <w:sz w:val="20"/>
          <w:szCs w:val="20"/>
        </w:rPr>
        <w:t xml:space="preserve">NIC </w:t>
      </w:r>
      <w:r>
        <w:rPr>
          <w:rFonts w:ascii="Century Gothic" w:hAnsi="Century Gothic"/>
          <w:sz w:val="20"/>
          <w:szCs w:val="20"/>
        </w:rPr>
        <w:t xml:space="preserve">emphasises the importance of further consultation materials articulating what the nature of proposed solutions are for the issues raised. </w:t>
      </w:r>
      <w:r w:rsidR="00195A95">
        <w:rPr>
          <w:rFonts w:ascii="Century Gothic" w:hAnsi="Century Gothic"/>
          <w:sz w:val="20"/>
          <w:szCs w:val="20"/>
        </w:rPr>
        <w:t xml:space="preserve">This will be essential for all stakeholders to provide comment. </w:t>
      </w:r>
    </w:p>
    <w:p w14:paraId="1203C3E1" w14:textId="373ABF74" w:rsidR="00195A95" w:rsidRDefault="00195A95" w:rsidP="00A04763">
      <w:pPr>
        <w:rPr>
          <w:rFonts w:ascii="Century Gothic" w:hAnsi="Century Gothic"/>
          <w:sz w:val="20"/>
          <w:szCs w:val="20"/>
        </w:rPr>
      </w:pPr>
      <w:r>
        <w:rPr>
          <w:rFonts w:ascii="Century Gothic" w:hAnsi="Century Gothic"/>
          <w:sz w:val="20"/>
          <w:szCs w:val="20"/>
        </w:rPr>
        <w:t xml:space="preserve">For example, the </w:t>
      </w:r>
      <w:r w:rsidR="00FA12F1">
        <w:rPr>
          <w:rFonts w:ascii="Century Gothic" w:hAnsi="Century Gothic"/>
          <w:sz w:val="20"/>
          <w:szCs w:val="20"/>
        </w:rPr>
        <w:t>consultation materials say:</w:t>
      </w:r>
    </w:p>
    <w:p w14:paraId="2E71DC19" w14:textId="1EC5341A" w:rsidR="00FA12F1" w:rsidRDefault="00FA12F1" w:rsidP="00FA12F1">
      <w:pPr>
        <w:jc w:val="both"/>
        <w:rPr>
          <w:rFonts w:ascii="Century Gothic" w:hAnsi="Century Gothic"/>
          <w:i/>
          <w:iCs/>
          <w:sz w:val="20"/>
          <w:szCs w:val="20"/>
        </w:rPr>
      </w:pPr>
      <w:r w:rsidRPr="00FA12F1">
        <w:rPr>
          <w:rFonts w:ascii="Century Gothic" w:hAnsi="Century Gothic"/>
          <w:i/>
          <w:iCs/>
          <w:sz w:val="20"/>
          <w:szCs w:val="20"/>
        </w:rPr>
        <w:t>“The Water Act does not clearly reflect key principles from the UNDRIP, such as self-determination and Free, Prior and Informed Consent.”</w:t>
      </w:r>
    </w:p>
    <w:p w14:paraId="1E1B4BCE" w14:textId="77777777" w:rsidR="00BE2DA6" w:rsidRPr="00BE2DA6" w:rsidRDefault="00BE2DA6" w:rsidP="00BE2DA6">
      <w:pPr>
        <w:jc w:val="both"/>
        <w:rPr>
          <w:rFonts w:ascii="Century Gothic" w:hAnsi="Century Gothic"/>
          <w:i/>
          <w:iCs/>
          <w:sz w:val="20"/>
          <w:szCs w:val="20"/>
        </w:rPr>
      </w:pPr>
      <w:r>
        <w:rPr>
          <w:rFonts w:ascii="Century Gothic" w:hAnsi="Century Gothic"/>
          <w:i/>
          <w:iCs/>
          <w:sz w:val="20"/>
          <w:szCs w:val="20"/>
        </w:rPr>
        <w:t>“</w:t>
      </w:r>
      <w:r w:rsidRPr="00BE2DA6">
        <w:rPr>
          <w:rFonts w:ascii="Century Gothic" w:hAnsi="Century Gothic"/>
          <w:i/>
          <w:iCs/>
          <w:sz w:val="20"/>
          <w:szCs w:val="20"/>
        </w:rPr>
        <w:t xml:space="preserve">Aboriginal and Torres Strait Islander peoples are seeking a more complete and connected approach to water–one that: </w:t>
      </w:r>
    </w:p>
    <w:p w14:paraId="1837EE03" w14:textId="77777777" w:rsidR="00BE2DA6" w:rsidRPr="00BE2DA6" w:rsidRDefault="00BE2DA6" w:rsidP="00BE2DA6">
      <w:pPr>
        <w:jc w:val="both"/>
        <w:rPr>
          <w:rFonts w:ascii="Century Gothic" w:hAnsi="Century Gothic"/>
          <w:i/>
          <w:iCs/>
          <w:sz w:val="20"/>
          <w:szCs w:val="20"/>
        </w:rPr>
      </w:pPr>
      <w:r w:rsidRPr="00BE2DA6">
        <w:rPr>
          <w:rFonts w:ascii="Century Gothic" w:hAnsi="Century Gothic"/>
          <w:i/>
          <w:iCs/>
          <w:sz w:val="20"/>
          <w:szCs w:val="20"/>
        </w:rPr>
        <w:t>• Recognises rights and self-determination.</w:t>
      </w:r>
    </w:p>
    <w:p w14:paraId="34B2AA34" w14:textId="77777777" w:rsidR="00BE2DA6" w:rsidRPr="00BE2DA6" w:rsidRDefault="00BE2DA6" w:rsidP="00BE2DA6">
      <w:pPr>
        <w:jc w:val="both"/>
        <w:rPr>
          <w:rFonts w:ascii="Century Gothic" w:hAnsi="Century Gothic"/>
          <w:i/>
          <w:iCs/>
          <w:sz w:val="20"/>
          <w:szCs w:val="20"/>
        </w:rPr>
      </w:pPr>
      <w:r w:rsidRPr="00BE2DA6">
        <w:rPr>
          <w:rFonts w:ascii="Century Gothic" w:hAnsi="Century Gothic"/>
          <w:i/>
          <w:iCs/>
          <w:sz w:val="20"/>
          <w:szCs w:val="20"/>
        </w:rPr>
        <w:t xml:space="preserve"> • Respects Free, Prior and Informed Consent in decisions affecting water and Country. </w:t>
      </w:r>
    </w:p>
    <w:p w14:paraId="453860CF" w14:textId="77777777" w:rsidR="00BE2DA6" w:rsidRPr="00BE2DA6" w:rsidRDefault="00BE2DA6" w:rsidP="00BE2DA6">
      <w:pPr>
        <w:jc w:val="both"/>
        <w:rPr>
          <w:rFonts w:ascii="Century Gothic" w:hAnsi="Century Gothic"/>
          <w:i/>
          <w:iCs/>
          <w:sz w:val="20"/>
          <w:szCs w:val="20"/>
        </w:rPr>
      </w:pPr>
      <w:r w:rsidRPr="00BE2DA6">
        <w:rPr>
          <w:rFonts w:ascii="Century Gothic" w:hAnsi="Century Gothic"/>
          <w:i/>
          <w:iCs/>
          <w:sz w:val="20"/>
          <w:szCs w:val="20"/>
        </w:rPr>
        <w:t xml:space="preserve">• Acknowledges Cultural, social, spiritual, economic and environmental values. </w:t>
      </w:r>
    </w:p>
    <w:p w14:paraId="397DDCDD" w14:textId="5299D205" w:rsidR="00BE2DA6" w:rsidRPr="00FA12F1" w:rsidRDefault="00BE2DA6" w:rsidP="00BE2DA6">
      <w:pPr>
        <w:jc w:val="both"/>
        <w:rPr>
          <w:rFonts w:ascii="Century Gothic" w:hAnsi="Century Gothic"/>
          <w:i/>
          <w:iCs/>
          <w:sz w:val="20"/>
          <w:szCs w:val="20"/>
        </w:rPr>
      </w:pPr>
      <w:r w:rsidRPr="00BE2DA6">
        <w:rPr>
          <w:rFonts w:ascii="Century Gothic" w:hAnsi="Century Gothic"/>
          <w:i/>
          <w:iCs/>
          <w:sz w:val="20"/>
          <w:szCs w:val="20"/>
        </w:rPr>
        <w:t>• Acknowledges the deep connections between land, water, sky and wellbeing.</w:t>
      </w:r>
      <w:r>
        <w:rPr>
          <w:rFonts w:ascii="Century Gothic" w:hAnsi="Century Gothic"/>
          <w:i/>
          <w:iCs/>
          <w:sz w:val="20"/>
          <w:szCs w:val="20"/>
        </w:rPr>
        <w:t>”</w:t>
      </w:r>
    </w:p>
    <w:p w14:paraId="0536B7B2" w14:textId="0F111D49" w:rsidR="00A04763" w:rsidRPr="00A04763" w:rsidRDefault="00FA12F1" w:rsidP="0097626D">
      <w:pPr>
        <w:jc w:val="both"/>
        <w:rPr>
          <w:rFonts w:ascii="Century Gothic" w:hAnsi="Century Gothic"/>
          <w:sz w:val="20"/>
          <w:szCs w:val="20"/>
        </w:rPr>
      </w:pPr>
      <w:r w:rsidRPr="00FA12F1">
        <w:rPr>
          <w:rFonts w:ascii="Century Gothic" w:hAnsi="Century Gothic"/>
          <w:sz w:val="20"/>
          <w:szCs w:val="20"/>
        </w:rPr>
        <w:t>Further information is required on</w:t>
      </w:r>
      <w:r w:rsidR="00BE2DA6">
        <w:rPr>
          <w:rFonts w:ascii="Century Gothic" w:hAnsi="Century Gothic"/>
          <w:sz w:val="20"/>
          <w:szCs w:val="20"/>
        </w:rPr>
        <w:t xml:space="preserve"> what this is intended to look like in a practical sense,</w:t>
      </w:r>
      <w:r w:rsidRPr="00FA12F1">
        <w:rPr>
          <w:rFonts w:ascii="Century Gothic" w:hAnsi="Century Gothic"/>
          <w:sz w:val="20"/>
          <w:szCs w:val="20"/>
        </w:rPr>
        <w:t xml:space="preserve"> ‘how’</w:t>
      </w:r>
      <w:r>
        <w:rPr>
          <w:rFonts w:ascii="Century Gothic" w:hAnsi="Century Gothic"/>
          <w:sz w:val="20"/>
          <w:szCs w:val="20"/>
        </w:rPr>
        <w:t xml:space="preserve"> this is proposed to occur, </w:t>
      </w:r>
      <w:r w:rsidR="00BE2DA6">
        <w:rPr>
          <w:rFonts w:ascii="Century Gothic" w:hAnsi="Century Gothic"/>
          <w:sz w:val="20"/>
          <w:szCs w:val="20"/>
        </w:rPr>
        <w:t>and</w:t>
      </w:r>
      <w:r>
        <w:rPr>
          <w:rFonts w:ascii="Century Gothic" w:hAnsi="Century Gothic"/>
          <w:sz w:val="20"/>
          <w:szCs w:val="20"/>
        </w:rPr>
        <w:t xml:space="preserve"> what the pathway forward is intended to be. </w:t>
      </w:r>
      <w:r w:rsidRPr="00FA12F1">
        <w:rPr>
          <w:rFonts w:ascii="Century Gothic" w:hAnsi="Century Gothic"/>
          <w:sz w:val="20"/>
          <w:szCs w:val="20"/>
        </w:rPr>
        <w:t xml:space="preserve"> </w:t>
      </w:r>
    </w:p>
    <w:p w14:paraId="1EAAF75B" w14:textId="195157CF" w:rsidR="0020136D" w:rsidRPr="00751099" w:rsidRDefault="00C315CE" w:rsidP="00C315CE">
      <w:pPr>
        <w:pStyle w:val="Heading2"/>
        <w:rPr>
          <w:rFonts w:ascii="Century Gothic" w:hAnsi="Century Gothic"/>
          <w:sz w:val="28"/>
          <w:szCs w:val="28"/>
        </w:rPr>
      </w:pPr>
      <w:bookmarkStart w:id="12" w:name="_Toc233372731"/>
      <w:r w:rsidRPr="00751099">
        <w:rPr>
          <w:rFonts w:ascii="Century Gothic" w:hAnsi="Century Gothic"/>
          <w:sz w:val="28"/>
          <w:szCs w:val="28"/>
        </w:rPr>
        <w:t>Clarification of key terms is crucial</w:t>
      </w:r>
      <w:bookmarkEnd w:id="12"/>
    </w:p>
    <w:p w14:paraId="245652B8" w14:textId="29E653F9" w:rsidR="00C315CE" w:rsidRPr="00751099" w:rsidRDefault="00C315CE" w:rsidP="00C315CE">
      <w:pPr>
        <w:rPr>
          <w:rFonts w:ascii="Century Gothic" w:hAnsi="Century Gothic"/>
          <w:sz w:val="20"/>
          <w:szCs w:val="20"/>
        </w:rPr>
      </w:pPr>
      <w:r w:rsidRPr="00751099">
        <w:rPr>
          <w:rFonts w:ascii="Century Gothic" w:hAnsi="Century Gothic"/>
          <w:sz w:val="20"/>
          <w:szCs w:val="20"/>
        </w:rPr>
        <w:t>NIC is concerned that there are varying interpretations of key terms, which risks varied expectations of what changes are being sought</w:t>
      </w:r>
      <w:r w:rsidR="006B0E7D" w:rsidRPr="00751099">
        <w:rPr>
          <w:rFonts w:ascii="Century Gothic" w:hAnsi="Century Gothic"/>
          <w:sz w:val="20"/>
          <w:szCs w:val="20"/>
        </w:rPr>
        <w:t xml:space="preserve"> and/or agreed to</w:t>
      </w:r>
      <w:r w:rsidR="008210B7" w:rsidRPr="00751099">
        <w:rPr>
          <w:rFonts w:ascii="Century Gothic" w:hAnsi="Century Gothic"/>
          <w:sz w:val="20"/>
          <w:szCs w:val="20"/>
        </w:rPr>
        <w:t>. As part of further public consultation, it will be important to provide definitions and explanations of what these terms mean</w:t>
      </w:r>
      <w:r w:rsidR="00FD1461" w:rsidRPr="00751099">
        <w:rPr>
          <w:rFonts w:ascii="Century Gothic" w:hAnsi="Century Gothic"/>
          <w:sz w:val="20"/>
          <w:szCs w:val="20"/>
        </w:rPr>
        <w:t xml:space="preserve"> in the context of water management in Australia</w:t>
      </w:r>
      <w:r w:rsidR="008210B7" w:rsidRPr="00751099">
        <w:rPr>
          <w:rFonts w:ascii="Century Gothic" w:hAnsi="Century Gothic"/>
          <w:sz w:val="20"/>
          <w:szCs w:val="20"/>
        </w:rPr>
        <w:t>,</w:t>
      </w:r>
      <w:r w:rsidR="00CA0FF2" w:rsidRPr="00751099">
        <w:rPr>
          <w:rFonts w:ascii="Century Gothic" w:hAnsi="Century Gothic"/>
          <w:sz w:val="20"/>
          <w:szCs w:val="20"/>
        </w:rPr>
        <w:t xml:space="preserve"> what they include and do not include within scope</w:t>
      </w:r>
      <w:r w:rsidR="00EC3EE0" w:rsidRPr="00751099">
        <w:rPr>
          <w:rFonts w:ascii="Century Gothic" w:hAnsi="Century Gothic"/>
          <w:sz w:val="20"/>
          <w:szCs w:val="20"/>
        </w:rPr>
        <w:t xml:space="preserve"> in a practical sense</w:t>
      </w:r>
      <w:r w:rsidR="00CA0FF2" w:rsidRPr="00751099">
        <w:rPr>
          <w:rFonts w:ascii="Century Gothic" w:hAnsi="Century Gothic"/>
          <w:sz w:val="20"/>
          <w:szCs w:val="20"/>
        </w:rPr>
        <w:t>, and</w:t>
      </w:r>
      <w:r w:rsidR="008210B7" w:rsidRPr="00751099">
        <w:rPr>
          <w:rFonts w:ascii="Century Gothic" w:hAnsi="Century Gothic"/>
          <w:sz w:val="20"/>
          <w:szCs w:val="20"/>
        </w:rPr>
        <w:t xml:space="preserve"> where applicable, have those definitions </w:t>
      </w:r>
      <w:r w:rsidR="00CA0FF2" w:rsidRPr="00751099">
        <w:rPr>
          <w:rFonts w:ascii="Century Gothic" w:hAnsi="Century Gothic"/>
          <w:sz w:val="20"/>
          <w:szCs w:val="20"/>
        </w:rPr>
        <w:t xml:space="preserve">included in relevant instruments. </w:t>
      </w:r>
      <w:r w:rsidR="00373941" w:rsidRPr="00751099">
        <w:rPr>
          <w:rFonts w:ascii="Century Gothic" w:hAnsi="Century Gothic"/>
          <w:sz w:val="20"/>
          <w:szCs w:val="20"/>
        </w:rPr>
        <w:t>This will ensure all stakeholders, and decision-makers, are on the same level of understanding</w:t>
      </w:r>
      <w:r w:rsidR="00040CB9">
        <w:rPr>
          <w:rFonts w:ascii="Century Gothic" w:hAnsi="Century Gothic"/>
          <w:sz w:val="20"/>
          <w:szCs w:val="20"/>
        </w:rPr>
        <w:t xml:space="preserve"> – in both the public consultation phase, but also, in the legislation and implementation phase. </w:t>
      </w:r>
    </w:p>
    <w:p w14:paraId="7D1B9A91" w14:textId="4E7AD1FC" w:rsidR="00FD1461" w:rsidRPr="00751099" w:rsidRDefault="00FD1461" w:rsidP="00C315CE">
      <w:pPr>
        <w:rPr>
          <w:rFonts w:ascii="Century Gothic" w:hAnsi="Century Gothic"/>
          <w:sz w:val="20"/>
          <w:szCs w:val="20"/>
        </w:rPr>
      </w:pPr>
      <w:r w:rsidRPr="00751099">
        <w:rPr>
          <w:rFonts w:ascii="Century Gothic" w:hAnsi="Century Gothic"/>
          <w:sz w:val="20"/>
          <w:szCs w:val="20"/>
        </w:rPr>
        <w:t xml:space="preserve">This is particularly relevant if the </w:t>
      </w:r>
      <w:r w:rsidR="00F24F42" w:rsidRPr="00751099">
        <w:rPr>
          <w:rFonts w:ascii="Century Gothic" w:hAnsi="Century Gothic"/>
          <w:sz w:val="20"/>
          <w:szCs w:val="20"/>
        </w:rPr>
        <w:t xml:space="preserve">definition of the term in this context is different to what a common or dictionary </w:t>
      </w:r>
      <w:r w:rsidR="00250F95" w:rsidRPr="00751099">
        <w:rPr>
          <w:rFonts w:ascii="Century Gothic" w:hAnsi="Century Gothic"/>
          <w:sz w:val="20"/>
          <w:szCs w:val="20"/>
        </w:rPr>
        <w:t>definition</w:t>
      </w:r>
      <w:r w:rsidR="00F24F42" w:rsidRPr="00751099">
        <w:rPr>
          <w:rFonts w:ascii="Century Gothic" w:hAnsi="Century Gothic"/>
          <w:sz w:val="20"/>
          <w:szCs w:val="20"/>
        </w:rPr>
        <w:t xml:space="preserve"> of that term may be</w:t>
      </w:r>
      <w:r w:rsidR="00BE0F33" w:rsidRPr="00751099">
        <w:rPr>
          <w:rFonts w:ascii="Century Gothic" w:hAnsi="Century Gothic"/>
          <w:sz w:val="20"/>
          <w:szCs w:val="20"/>
        </w:rPr>
        <w:t>. F</w:t>
      </w:r>
      <w:r w:rsidR="00F24F42" w:rsidRPr="00751099">
        <w:rPr>
          <w:rFonts w:ascii="Century Gothic" w:hAnsi="Century Gothic"/>
          <w:sz w:val="20"/>
          <w:szCs w:val="20"/>
        </w:rPr>
        <w:t xml:space="preserve">or example, </w:t>
      </w:r>
      <w:r w:rsidR="00BE0F33" w:rsidRPr="00751099">
        <w:rPr>
          <w:rFonts w:ascii="Century Gothic" w:hAnsi="Century Gothic"/>
          <w:sz w:val="20"/>
          <w:szCs w:val="20"/>
        </w:rPr>
        <w:t xml:space="preserve">the phrase </w:t>
      </w:r>
      <w:r w:rsidR="00F24F42" w:rsidRPr="00751099">
        <w:rPr>
          <w:rFonts w:ascii="Century Gothic" w:hAnsi="Century Gothic"/>
          <w:sz w:val="20"/>
          <w:szCs w:val="20"/>
        </w:rPr>
        <w:t>‘consent’</w:t>
      </w:r>
      <w:r w:rsidR="00BE0F33" w:rsidRPr="00751099">
        <w:rPr>
          <w:rFonts w:ascii="Century Gothic" w:hAnsi="Century Gothic"/>
          <w:sz w:val="20"/>
          <w:szCs w:val="20"/>
        </w:rPr>
        <w:t xml:space="preserve"> in many contexts would mean a veto power, however, we </w:t>
      </w:r>
      <w:r w:rsidR="00494AFB" w:rsidRPr="00751099">
        <w:rPr>
          <w:rFonts w:ascii="Century Gothic" w:hAnsi="Century Gothic"/>
          <w:sz w:val="20"/>
          <w:szCs w:val="20"/>
        </w:rPr>
        <w:t>have been informed that</w:t>
      </w:r>
      <w:r w:rsidR="00BE0F33" w:rsidRPr="00751099">
        <w:rPr>
          <w:rFonts w:ascii="Century Gothic" w:hAnsi="Century Gothic"/>
          <w:sz w:val="20"/>
          <w:szCs w:val="20"/>
        </w:rPr>
        <w:t xml:space="preserve"> this is not what is intended</w:t>
      </w:r>
      <w:r w:rsidR="00E40A9B">
        <w:rPr>
          <w:rFonts w:ascii="Century Gothic" w:hAnsi="Century Gothic"/>
          <w:sz w:val="20"/>
          <w:szCs w:val="20"/>
        </w:rPr>
        <w:t xml:space="preserve"> here</w:t>
      </w:r>
      <w:r w:rsidR="00BE0F33" w:rsidRPr="00751099">
        <w:rPr>
          <w:rFonts w:ascii="Century Gothic" w:hAnsi="Century Gothic"/>
          <w:sz w:val="20"/>
          <w:szCs w:val="20"/>
        </w:rPr>
        <w:t xml:space="preserve">. </w:t>
      </w:r>
      <w:r w:rsidR="00F24F42" w:rsidRPr="00751099">
        <w:rPr>
          <w:rFonts w:ascii="Century Gothic" w:hAnsi="Century Gothic"/>
          <w:sz w:val="20"/>
          <w:szCs w:val="20"/>
        </w:rPr>
        <w:t xml:space="preserve"> </w:t>
      </w:r>
    </w:p>
    <w:p w14:paraId="5C3B97EA" w14:textId="4D6C346A" w:rsidR="00122735" w:rsidRPr="00751099" w:rsidRDefault="00122735" w:rsidP="00C315CE">
      <w:pPr>
        <w:rPr>
          <w:rFonts w:ascii="Century Gothic" w:hAnsi="Century Gothic"/>
          <w:sz w:val="20"/>
          <w:szCs w:val="20"/>
        </w:rPr>
      </w:pPr>
      <w:r w:rsidRPr="00751099">
        <w:rPr>
          <w:rFonts w:ascii="Century Gothic" w:hAnsi="Century Gothic"/>
          <w:sz w:val="20"/>
          <w:szCs w:val="20"/>
        </w:rPr>
        <w:t xml:space="preserve">Key terms which NIC believes require formal definitions </w:t>
      </w:r>
      <w:r w:rsidR="004607F1">
        <w:rPr>
          <w:rFonts w:ascii="Century Gothic" w:hAnsi="Century Gothic"/>
          <w:sz w:val="20"/>
          <w:szCs w:val="20"/>
        </w:rPr>
        <w:t>to describe in practical terms what these terms mean and do not mean,</w:t>
      </w:r>
      <w:r w:rsidRPr="00751099">
        <w:rPr>
          <w:rFonts w:ascii="Century Gothic" w:hAnsi="Century Gothic"/>
          <w:sz w:val="20"/>
          <w:szCs w:val="20"/>
        </w:rPr>
        <w:t xml:space="preserve"> as part of further consultations:</w:t>
      </w:r>
    </w:p>
    <w:p w14:paraId="196E4310" w14:textId="2DF81538" w:rsidR="00122735" w:rsidRPr="00751099" w:rsidRDefault="007073BA" w:rsidP="00122735">
      <w:pPr>
        <w:pStyle w:val="ListParagraph"/>
        <w:numPr>
          <w:ilvl w:val="0"/>
          <w:numId w:val="35"/>
        </w:numPr>
        <w:rPr>
          <w:rFonts w:ascii="Century Gothic" w:hAnsi="Century Gothic"/>
          <w:sz w:val="20"/>
          <w:szCs w:val="20"/>
        </w:rPr>
      </w:pPr>
      <w:r w:rsidRPr="00751099">
        <w:rPr>
          <w:rFonts w:ascii="Century Gothic" w:hAnsi="Century Gothic"/>
          <w:sz w:val="20"/>
          <w:szCs w:val="20"/>
        </w:rPr>
        <w:lastRenderedPageBreak/>
        <w:t>Consent – in the context of free, prior and informed consent</w:t>
      </w:r>
    </w:p>
    <w:p w14:paraId="0400D779" w14:textId="2CB54BEF" w:rsidR="007073BA" w:rsidRPr="00751099" w:rsidRDefault="00BF36DA" w:rsidP="00122735">
      <w:pPr>
        <w:pStyle w:val="ListParagraph"/>
        <w:numPr>
          <w:ilvl w:val="0"/>
          <w:numId w:val="35"/>
        </w:numPr>
        <w:rPr>
          <w:rFonts w:ascii="Century Gothic" w:hAnsi="Century Gothic"/>
          <w:sz w:val="20"/>
          <w:szCs w:val="20"/>
        </w:rPr>
      </w:pPr>
      <w:r w:rsidRPr="00751099">
        <w:rPr>
          <w:rFonts w:ascii="Century Gothic" w:hAnsi="Century Gothic"/>
          <w:sz w:val="20"/>
          <w:szCs w:val="20"/>
        </w:rPr>
        <w:t xml:space="preserve">Authority </w:t>
      </w:r>
    </w:p>
    <w:p w14:paraId="153EDDE3" w14:textId="30ECFAAB" w:rsidR="00416CCC" w:rsidRPr="00751099" w:rsidRDefault="00416CCC" w:rsidP="00122735">
      <w:pPr>
        <w:pStyle w:val="ListParagraph"/>
        <w:numPr>
          <w:ilvl w:val="0"/>
          <w:numId w:val="35"/>
        </w:numPr>
        <w:rPr>
          <w:rFonts w:ascii="Century Gothic" w:hAnsi="Century Gothic"/>
          <w:sz w:val="20"/>
          <w:szCs w:val="20"/>
        </w:rPr>
      </w:pPr>
      <w:r w:rsidRPr="00751099">
        <w:rPr>
          <w:rFonts w:ascii="Century Gothic" w:hAnsi="Century Gothic"/>
          <w:sz w:val="20"/>
          <w:szCs w:val="20"/>
        </w:rPr>
        <w:t xml:space="preserve">Water rights </w:t>
      </w:r>
    </w:p>
    <w:p w14:paraId="13B2834F" w14:textId="77777777" w:rsidR="00416CCC" w:rsidRPr="00751099" w:rsidRDefault="00BF36DA" w:rsidP="00122735">
      <w:pPr>
        <w:pStyle w:val="ListParagraph"/>
        <w:numPr>
          <w:ilvl w:val="0"/>
          <w:numId w:val="35"/>
        </w:numPr>
        <w:rPr>
          <w:rFonts w:ascii="Century Gothic" w:hAnsi="Century Gothic"/>
          <w:sz w:val="20"/>
          <w:szCs w:val="20"/>
        </w:rPr>
      </w:pPr>
      <w:r w:rsidRPr="00751099">
        <w:rPr>
          <w:rFonts w:ascii="Century Gothic" w:hAnsi="Century Gothic"/>
          <w:sz w:val="20"/>
          <w:szCs w:val="20"/>
        </w:rPr>
        <w:t>Living Entity</w:t>
      </w:r>
    </w:p>
    <w:p w14:paraId="52E551CD" w14:textId="7C1E91FA" w:rsidR="00D91812" w:rsidRPr="00E475B7" w:rsidRDefault="00416CCC" w:rsidP="00D91812">
      <w:pPr>
        <w:pStyle w:val="ListParagraph"/>
        <w:numPr>
          <w:ilvl w:val="0"/>
          <w:numId w:val="35"/>
        </w:numPr>
        <w:rPr>
          <w:rFonts w:ascii="Century Gothic" w:hAnsi="Century Gothic"/>
          <w:sz w:val="20"/>
          <w:szCs w:val="20"/>
        </w:rPr>
      </w:pPr>
      <w:r w:rsidRPr="00751099">
        <w:rPr>
          <w:rFonts w:ascii="Century Gothic" w:hAnsi="Century Gothic"/>
          <w:sz w:val="20"/>
          <w:szCs w:val="20"/>
        </w:rPr>
        <w:t xml:space="preserve">Self-determination </w:t>
      </w:r>
      <w:r w:rsidR="00BF36DA" w:rsidRPr="00751099">
        <w:rPr>
          <w:rFonts w:ascii="Century Gothic" w:hAnsi="Century Gothic"/>
          <w:sz w:val="20"/>
          <w:szCs w:val="20"/>
        </w:rPr>
        <w:t xml:space="preserve"> </w:t>
      </w:r>
    </w:p>
    <w:p w14:paraId="34273174" w14:textId="63E22B58" w:rsidR="00D91812" w:rsidRDefault="00D91812" w:rsidP="00D91812">
      <w:pPr>
        <w:rPr>
          <w:rFonts w:ascii="Century Gothic" w:hAnsi="Century Gothic"/>
          <w:sz w:val="20"/>
          <w:szCs w:val="20"/>
        </w:rPr>
      </w:pPr>
      <w:r w:rsidRPr="00D91812">
        <w:rPr>
          <w:rFonts w:ascii="Century Gothic" w:hAnsi="Century Gothic"/>
          <w:b/>
          <w:bCs/>
          <w:sz w:val="20"/>
          <w:szCs w:val="20"/>
        </w:rPr>
        <w:t>NIC recommend</w:t>
      </w:r>
      <w:r w:rsidRPr="00751099">
        <w:rPr>
          <w:rFonts w:ascii="Century Gothic" w:hAnsi="Century Gothic"/>
          <w:sz w:val="20"/>
          <w:szCs w:val="20"/>
        </w:rPr>
        <w:t xml:space="preserve"> that</w:t>
      </w:r>
      <w:r>
        <w:rPr>
          <w:rFonts w:ascii="Century Gothic" w:hAnsi="Century Gothic"/>
          <w:sz w:val="20"/>
          <w:szCs w:val="20"/>
        </w:rPr>
        <w:t>:</w:t>
      </w:r>
    </w:p>
    <w:p w14:paraId="4EBF628C" w14:textId="3897FCD1" w:rsidR="00D91812" w:rsidRDefault="00D91812" w:rsidP="00D91812">
      <w:pPr>
        <w:pStyle w:val="ListParagraph"/>
        <w:numPr>
          <w:ilvl w:val="0"/>
          <w:numId w:val="47"/>
        </w:numPr>
        <w:rPr>
          <w:rFonts w:ascii="Century Gothic" w:hAnsi="Century Gothic"/>
          <w:sz w:val="20"/>
          <w:szCs w:val="20"/>
        </w:rPr>
      </w:pPr>
      <w:r>
        <w:rPr>
          <w:rFonts w:ascii="Century Gothic" w:hAnsi="Century Gothic"/>
          <w:sz w:val="20"/>
          <w:szCs w:val="20"/>
        </w:rPr>
        <w:t>Further public consultation includes definitions to clarify key terms (particularly, consent</w:t>
      </w:r>
      <w:r w:rsidR="00143B08">
        <w:rPr>
          <w:rFonts w:ascii="Century Gothic" w:hAnsi="Century Gothic"/>
          <w:sz w:val="20"/>
          <w:szCs w:val="20"/>
        </w:rPr>
        <w:t xml:space="preserve"> and self-determination) within the context of water management and the proposed arrangements being sought.</w:t>
      </w:r>
    </w:p>
    <w:p w14:paraId="24DB8951" w14:textId="4FC5BAFF" w:rsidR="00751B13" w:rsidRPr="00751099" w:rsidRDefault="00EB79D8" w:rsidP="00EB79D8">
      <w:pPr>
        <w:pStyle w:val="Heading2"/>
        <w:rPr>
          <w:rFonts w:ascii="Century Gothic" w:hAnsi="Century Gothic"/>
          <w:sz w:val="28"/>
          <w:szCs w:val="28"/>
        </w:rPr>
      </w:pPr>
      <w:bookmarkStart w:id="13" w:name="_Toc233372732"/>
      <w:commentRangeStart w:id="14"/>
      <w:r w:rsidRPr="00751099">
        <w:rPr>
          <w:rFonts w:ascii="Century Gothic" w:hAnsi="Century Gothic"/>
          <w:sz w:val="28"/>
          <w:szCs w:val="28"/>
        </w:rPr>
        <w:t>Issues beyond water management</w:t>
      </w:r>
      <w:bookmarkEnd w:id="13"/>
      <w:r w:rsidRPr="00751099">
        <w:rPr>
          <w:rFonts w:ascii="Century Gothic" w:hAnsi="Century Gothic"/>
          <w:sz w:val="28"/>
          <w:szCs w:val="28"/>
        </w:rPr>
        <w:t xml:space="preserve"> </w:t>
      </w:r>
      <w:commentRangeEnd w:id="14"/>
      <w:r w:rsidR="0065707B" w:rsidRPr="00751099">
        <w:rPr>
          <w:rStyle w:val="CommentReference"/>
          <w:rFonts w:ascii="Century Gothic" w:hAnsi="Century Gothic"/>
          <w:sz w:val="28"/>
          <w:szCs w:val="28"/>
        </w:rPr>
        <w:commentReference w:id="14"/>
      </w:r>
    </w:p>
    <w:p w14:paraId="7D324714" w14:textId="2B834AD7" w:rsidR="00A5758A" w:rsidRPr="00751099" w:rsidRDefault="00A5758A" w:rsidP="006E26EC">
      <w:pPr>
        <w:jc w:val="both"/>
        <w:rPr>
          <w:rFonts w:ascii="Century Gothic" w:hAnsi="Century Gothic"/>
          <w:sz w:val="20"/>
          <w:szCs w:val="20"/>
        </w:rPr>
      </w:pPr>
      <w:r w:rsidRPr="00751099">
        <w:rPr>
          <w:rFonts w:ascii="Century Gothic" w:hAnsi="Century Gothic"/>
          <w:sz w:val="20"/>
          <w:szCs w:val="20"/>
        </w:rPr>
        <w:t>It must be noted that UNDRIP is a</w:t>
      </w:r>
      <w:r w:rsidR="0082546D" w:rsidRPr="00751099">
        <w:rPr>
          <w:rFonts w:ascii="Century Gothic" w:hAnsi="Century Gothic"/>
          <w:sz w:val="20"/>
          <w:szCs w:val="20"/>
        </w:rPr>
        <w:t xml:space="preserve"> comprehensive international</w:t>
      </w:r>
      <w:r w:rsidRPr="00751099">
        <w:rPr>
          <w:rFonts w:ascii="Century Gothic" w:hAnsi="Century Gothic"/>
          <w:sz w:val="20"/>
          <w:szCs w:val="20"/>
        </w:rPr>
        <w:t xml:space="preserve"> instrument that goes beyond the scope of just water</w:t>
      </w:r>
      <w:r w:rsidR="00384B62" w:rsidRPr="00751099">
        <w:rPr>
          <w:rFonts w:ascii="Century Gothic" w:hAnsi="Century Gothic"/>
          <w:sz w:val="20"/>
          <w:szCs w:val="20"/>
        </w:rPr>
        <w:t xml:space="preserve"> resource</w:t>
      </w:r>
      <w:r w:rsidRPr="00751099">
        <w:rPr>
          <w:rFonts w:ascii="Century Gothic" w:hAnsi="Century Gothic"/>
          <w:sz w:val="20"/>
          <w:szCs w:val="20"/>
        </w:rPr>
        <w:t xml:space="preserve"> management.  </w:t>
      </w:r>
    </w:p>
    <w:p w14:paraId="359C3403" w14:textId="7628D393" w:rsidR="00AF392A" w:rsidRPr="00751099" w:rsidRDefault="00384B62" w:rsidP="006E26EC">
      <w:pPr>
        <w:jc w:val="both"/>
        <w:rPr>
          <w:rFonts w:ascii="Century Gothic" w:hAnsi="Century Gothic"/>
          <w:sz w:val="20"/>
          <w:szCs w:val="20"/>
        </w:rPr>
      </w:pPr>
      <w:r w:rsidRPr="00751099">
        <w:rPr>
          <w:rFonts w:ascii="Century Gothic" w:hAnsi="Century Gothic"/>
          <w:sz w:val="20"/>
          <w:szCs w:val="20"/>
        </w:rPr>
        <w:t>While it provides guidance for considering Indigenous rights to water (amongst other things) its full and effective implementation sparks a broader set of constitutional, institutional, and governance considerations</w:t>
      </w:r>
      <w:r w:rsidR="00D35198" w:rsidRPr="00751099">
        <w:rPr>
          <w:rFonts w:ascii="Century Gothic" w:hAnsi="Century Gothic"/>
          <w:sz w:val="20"/>
          <w:szCs w:val="20"/>
        </w:rPr>
        <w:t xml:space="preserve"> and processes. </w:t>
      </w:r>
      <w:r w:rsidR="00AF392A">
        <w:rPr>
          <w:rFonts w:ascii="Century Gothic" w:hAnsi="Century Gothic"/>
          <w:sz w:val="20"/>
          <w:szCs w:val="20"/>
        </w:rPr>
        <w:t>For this reason, we encourage a broader, whole of Government discussion on how UNDRIP can be considered and reflected</w:t>
      </w:r>
      <w:r w:rsidR="00500C92">
        <w:rPr>
          <w:rFonts w:ascii="Century Gothic" w:hAnsi="Century Gothic"/>
          <w:sz w:val="20"/>
          <w:szCs w:val="20"/>
        </w:rPr>
        <w:t xml:space="preserve"> rather than the focus here within only the Water Act.</w:t>
      </w:r>
    </w:p>
    <w:p w14:paraId="562F0954" w14:textId="77777777" w:rsidR="00AE66C6" w:rsidRPr="00751099" w:rsidRDefault="00D35198" w:rsidP="006E26EC">
      <w:pPr>
        <w:jc w:val="both"/>
        <w:rPr>
          <w:rFonts w:ascii="Century Gothic" w:hAnsi="Century Gothic"/>
          <w:sz w:val="20"/>
          <w:szCs w:val="20"/>
        </w:rPr>
      </w:pPr>
      <w:r w:rsidRPr="00751099">
        <w:rPr>
          <w:rFonts w:ascii="Century Gothic" w:hAnsi="Century Gothic"/>
          <w:sz w:val="20"/>
          <w:szCs w:val="20"/>
        </w:rPr>
        <w:t>A key challenge in identifying opportunities to promote UNDRIP within the Water Act is that the realisation of many of its articles may require systemic reforms that extend beyond the scope of a single portfolio.</w:t>
      </w:r>
      <w:r w:rsidR="00141726" w:rsidRPr="00751099">
        <w:rPr>
          <w:rFonts w:ascii="Century Gothic" w:hAnsi="Century Gothic"/>
          <w:sz w:val="20"/>
          <w:szCs w:val="20"/>
        </w:rPr>
        <w:t xml:space="preserve"> </w:t>
      </w:r>
      <w:r w:rsidR="005E2C86" w:rsidRPr="00751099">
        <w:rPr>
          <w:rFonts w:ascii="Century Gothic" w:hAnsi="Century Gothic"/>
          <w:sz w:val="20"/>
          <w:szCs w:val="20"/>
        </w:rPr>
        <w:t xml:space="preserve">While portfolio-specific legislation such as the Water Act can play an important role in promoting some articles, it operates within a wider institutional framework that ultimately shapes how the legislation is operated and implemented. </w:t>
      </w:r>
    </w:p>
    <w:p w14:paraId="0EA3D014" w14:textId="42C87144" w:rsidR="00CD1D96" w:rsidRPr="00751099" w:rsidRDefault="00D23A3F" w:rsidP="006E26EC">
      <w:pPr>
        <w:jc w:val="both"/>
        <w:rPr>
          <w:rFonts w:ascii="Century Gothic" w:hAnsi="Century Gothic"/>
          <w:sz w:val="20"/>
          <w:szCs w:val="20"/>
        </w:rPr>
      </w:pPr>
      <w:r w:rsidRPr="00751099">
        <w:rPr>
          <w:rFonts w:ascii="Century Gothic" w:hAnsi="Century Gothic"/>
          <w:sz w:val="20"/>
          <w:szCs w:val="20"/>
        </w:rPr>
        <w:t xml:space="preserve">These matters necessarily involve complex, whole-of-government considerations and, </w:t>
      </w:r>
      <w:r w:rsidR="00D9232F" w:rsidRPr="00751099">
        <w:rPr>
          <w:rFonts w:ascii="Century Gothic" w:hAnsi="Century Gothic"/>
          <w:sz w:val="20"/>
          <w:szCs w:val="20"/>
        </w:rPr>
        <w:t>if</w:t>
      </w:r>
      <w:r w:rsidRPr="00751099">
        <w:rPr>
          <w:rFonts w:ascii="Century Gothic" w:hAnsi="Century Gothic"/>
          <w:sz w:val="20"/>
          <w:szCs w:val="20"/>
        </w:rPr>
        <w:t xml:space="preserve"> constitutional change is contemplated, established democratic processes such as referend</w:t>
      </w:r>
      <w:r w:rsidR="00141726" w:rsidRPr="00751099">
        <w:rPr>
          <w:rFonts w:ascii="Century Gothic" w:hAnsi="Century Gothic"/>
          <w:sz w:val="20"/>
          <w:szCs w:val="20"/>
        </w:rPr>
        <w:t>um</w:t>
      </w:r>
      <w:r w:rsidRPr="00751099">
        <w:rPr>
          <w:rFonts w:ascii="Century Gothic" w:hAnsi="Century Gothic"/>
          <w:sz w:val="20"/>
          <w:szCs w:val="20"/>
        </w:rPr>
        <w:t xml:space="preserve"> and broad public engagement across all Australian communities.</w:t>
      </w:r>
      <w:r w:rsidR="00AE66C6" w:rsidRPr="00751099">
        <w:rPr>
          <w:rFonts w:ascii="Century Gothic" w:hAnsi="Century Gothic"/>
          <w:sz w:val="20"/>
          <w:szCs w:val="20"/>
        </w:rPr>
        <w:t xml:space="preserve"> </w:t>
      </w:r>
      <w:r w:rsidR="00505BA6" w:rsidRPr="00751099">
        <w:rPr>
          <w:rFonts w:ascii="Century Gothic" w:hAnsi="Century Gothic"/>
          <w:sz w:val="20"/>
          <w:szCs w:val="20"/>
        </w:rPr>
        <w:t xml:space="preserve">Consideration of UNDRIP in isolation from these broader governance settings may risk creating expectations that exceed the practical or legal capacity of individual statutory </w:t>
      </w:r>
      <w:r w:rsidR="005E6D25" w:rsidRPr="00751099">
        <w:rPr>
          <w:rFonts w:ascii="Century Gothic" w:hAnsi="Century Gothic"/>
          <w:sz w:val="20"/>
          <w:szCs w:val="20"/>
        </w:rPr>
        <w:t>instruments and</w:t>
      </w:r>
      <w:r w:rsidR="00505BA6" w:rsidRPr="00751099">
        <w:rPr>
          <w:rFonts w:ascii="Century Gothic" w:hAnsi="Century Gothic"/>
          <w:sz w:val="20"/>
          <w:szCs w:val="20"/>
        </w:rPr>
        <w:t xml:space="preserve"> may also lead to fragmented or inconsistent policy outcomes</w:t>
      </w:r>
      <w:r w:rsidR="000D34B0" w:rsidRPr="00751099">
        <w:rPr>
          <w:rFonts w:ascii="Century Gothic" w:hAnsi="Century Gothic"/>
          <w:sz w:val="20"/>
          <w:szCs w:val="20"/>
        </w:rPr>
        <w:t xml:space="preserve">, and poor public acceptance. </w:t>
      </w:r>
    </w:p>
    <w:p w14:paraId="6576EDAC" w14:textId="048D985D" w:rsidR="00CD1D96" w:rsidRPr="00751099" w:rsidRDefault="00641FC0" w:rsidP="006E26EC">
      <w:pPr>
        <w:jc w:val="both"/>
        <w:rPr>
          <w:rFonts w:ascii="Century Gothic" w:hAnsi="Century Gothic"/>
          <w:sz w:val="20"/>
          <w:szCs w:val="20"/>
        </w:rPr>
      </w:pPr>
      <w:r w:rsidRPr="00751099">
        <w:rPr>
          <w:rFonts w:ascii="Century Gothic" w:hAnsi="Century Gothic"/>
          <w:sz w:val="20"/>
          <w:szCs w:val="20"/>
        </w:rPr>
        <w:t>Recent</w:t>
      </w:r>
      <w:r w:rsidR="00CD1D96" w:rsidRPr="00751099">
        <w:rPr>
          <w:rFonts w:ascii="Century Gothic" w:hAnsi="Century Gothic"/>
          <w:sz w:val="20"/>
          <w:szCs w:val="20"/>
        </w:rPr>
        <w:t xml:space="preserve"> efforts to progress certain aspects of constitutional or structural reform relating to Indigenous recognition have not been successful at referendum. This historical context </w:t>
      </w:r>
      <w:r w:rsidR="00AE66C6" w:rsidRPr="00751099">
        <w:rPr>
          <w:rFonts w:ascii="Century Gothic" w:hAnsi="Century Gothic"/>
          <w:sz w:val="20"/>
          <w:szCs w:val="20"/>
        </w:rPr>
        <w:t>shows</w:t>
      </w:r>
      <w:r w:rsidR="00CD1D96" w:rsidRPr="00751099">
        <w:rPr>
          <w:rFonts w:ascii="Century Gothic" w:hAnsi="Century Gothic"/>
          <w:sz w:val="20"/>
          <w:szCs w:val="20"/>
        </w:rPr>
        <w:t xml:space="preserve"> the importance of carefully considering both the scope and sequencing of reform, as well as ensuring that any proposals are developed through inclusive and durable processes that have broad public legitimacy.</w:t>
      </w:r>
    </w:p>
    <w:p w14:paraId="63254413" w14:textId="368FE250" w:rsidR="00AE66C6" w:rsidRPr="00751099" w:rsidRDefault="00637D77" w:rsidP="006E26EC">
      <w:pPr>
        <w:jc w:val="both"/>
        <w:rPr>
          <w:rFonts w:ascii="Century Gothic" w:hAnsi="Century Gothic"/>
          <w:sz w:val="20"/>
          <w:szCs w:val="20"/>
        </w:rPr>
      </w:pPr>
      <w:r w:rsidRPr="00751099">
        <w:rPr>
          <w:rFonts w:ascii="Century Gothic" w:hAnsi="Century Gothic"/>
          <w:sz w:val="20"/>
          <w:szCs w:val="20"/>
        </w:rPr>
        <w:t>For the avoidance of doubt, we are not noting this to frustrate the process – rather – to note a very legitimate challenge in terms of progressing Indigenous rights at a portfolio level, in the absence of broader institutions and structures. This is not intended to detract from or diminish the importance of advancing Indigenous rights and interests.</w:t>
      </w:r>
      <w:r w:rsidR="002678E7" w:rsidRPr="00751099">
        <w:rPr>
          <w:rFonts w:ascii="Century Gothic" w:hAnsi="Century Gothic"/>
          <w:sz w:val="20"/>
          <w:szCs w:val="20"/>
        </w:rPr>
        <w:t xml:space="preserve"> Rather, it highlights the complexity involved in translating international declarations such as UNDRIP into domestic law and policy at the portfolio level, in the absence of overarching reforms across the broader governance system.</w:t>
      </w:r>
    </w:p>
    <w:p w14:paraId="3C710D02" w14:textId="629D8F51" w:rsidR="00F100F3" w:rsidRPr="00751099" w:rsidRDefault="00F100F3" w:rsidP="006E26EC">
      <w:pPr>
        <w:jc w:val="both"/>
        <w:rPr>
          <w:rFonts w:ascii="Century Gothic" w:hAnsi="Century Gothic"/>
          <w:sz w:val="20"/>
          <w:szCs w:val="20"/>
        </w:rPr>
      </w:pPr>
      <w:r w:rsidRPr="00751099">
        <w:rPr>
          <w:rFonts w:ascii="Century Gothic" w:hAnsi="Century Gothic"/>
          <w:sz w:val="20"/>
          <w:szCs w:val="20"/>
        </w:rPr>
        <w:t>It is noted that in the preamble of UNDRIP, it says:</w:t>
      </w:r>
    </w:p>
    <w:p w14:paraId="1A32102E" w14:textId="56981018" w:rsidR="00F100F3" w:rsidRPr="00751099" w:rsidRDefault="00A2427A" w:rsidP="006E26EC">
      <w:pPr>
        <w:jc w:val="both"/>
        <w:rPr>
          <w:rFonts w:ascii="Century Gothic" w:hAnsi="Century Gothic"/>
          <w:i/>
          <w:iCs/>
          <w:sz w:val="20"/>
          <w:szCs w:val="20"/>
        </w:rPr>
      </w:pPr>
      <w:r w:rsidRPr="00751099">
        <w:rPr>
          <w:rFonts w:ascii="Century Gothic" w:hAnsi="Century Gothic"/>
          <w:i/>
          <w:iCs/>
          <w:sz w:val="20"/>
          <w:szCs w:val="20"/>
        </w:rPr>
        <w:t xml:space="preserve">“The provisions set forth in this Declaration shall be interpreted in accordance with the principles of justice, </w:t>
      </w:r>
      <w:r w:rsidRPr="00751099">
        <w:rPr>
          <w:rFonts w:ascii="Century Gothic" w:hAnsi="Century Gothic"/>
          <w:b/>
          <w:bCs/>
          <w:i/>
          <w:iCs/>
          <w:sz w:val="20"/>
          <w:szCs w:val="20"/>
        </w:rPr>
        <w:t>democracy</w:t>
      </w:r>
      <w:r w:rsidRPr="00751099">
        <w:rPr>
          <w:rFonts w:ascii="Century Gothic" w:hAnsi="Century Gothic"/>
          <w:i/>
          <w:iCs/>
          <w:sz w:val="20"/>
          <w:szCs w:val="20"/>
        </w:rPr>
        <w:t xml:space="preserve">, respect for human rights, </w:t>
      </w:r>
      <w:r w:rsidRPr="00751099">
        <w:rPr>
          <w:rFonts w:ascii="Century Gothic" w:hAnsi="Century Gothic"/>
          <w:b/>
          <w:bCs/>
          <w:i/>
          <w:iCs/>
          <w:sz w:val="20"/>
          <w:szCs w:val="20"/>
        </w:rPr>
        <w:t>equality</w:t>
      </w:r>
      <w:r w:rsidRPr="00751099">
        <w:rPr>
          <w:rFonts w:ascii="Century Gothic" w:hAnsi="Century Gothic"/>
          <w:i/>
          <w:iCs/>
          <w:sz w:val="20"/>
          <w:szCs w:val="20"/>
        </w:rPr>
        <w:t>, non-discrimination, good governance and good faith.”</w:t>
      </w:r>
    </w:p>
    <w:p w14:paraId="62B8E212" w14:textId="621E4B8E" w:rsidR="00B25A08" w:rsidRPr="00751099" w:rsidRDefault="006B0E7D" w:rsidP="006E26EC">
      <w:pPr>
        <w:jc w:val="both"/>
        <w:rPr>
          <w:rFonts w:ascii="Century Gothic" w:hAnsi="Century Gothic"/>
          <w:i/>
          <w:iCs/>
          <w:sz w:val="20"/>
          <w:szCs w:val="20"/>
        </w:rPr>
      </w:pPr>
      <w:r w:rsidRPr="00751099">
        <w:rPr>
          <w:rFonts w:ascii="Century Gothic" w:hAnsi="Century Gothic"/>
          <w:i/>
          <w:iCs/>
          <w:sz w:val="20"/>
          <w:szCs w:val="20"/>
        </w:rPr>
        <w:lastRenderedPageBreak/>
        <w:t xml:space="preserve">“Recognizing that the situation of indigenous peoples varies from region to region and from country to country and that the significance of national and </w:t>
      </w:r>
      <w:r w:rsidRPr="00751099">
        <w:rPr>
          <w:rFonts w:ascii="Century Gothic" w:hAnsi="Century Gothic"/>
          <w:b/>
          <w:bCs/>
          <w:i/>
          <w:iCs/>
          <w:sz w:val="20"/>
          <w:szCs w:val="20"/>
        </w:rPr>
        <w:t>regional particularities and various historical and cultural backgrounds should be taken into consideration</w:t>
      </w:r>
      <w:r w:rsidRPr="00751099">
        <w:rPr>
          <w:rFonts w:ascii="Century Gothic" w:hAnsi="Century Gothic"/>
          <w:i/>
          <w:iCs/>
          <w:sz w:val="20"/>
          <w:szCs w:val="20"/>
        </w:rPr>
        <w:t>…”</w:t>
      </w:r>
    </w:p>
    <w:p w14:paraId="49EA8BEB" w14:textId="74FBBC8A" w:rsidR="0054502B" w:rsidRDefault="0054502B" w:rsidP="006E26EC">
      <w:pPr>
        <w:jc w:val="both"/>
        <w:rPr>
          <w:rFonts w:ascii="Century Gothic" w:hAnsi="Century Gothic"/>
          <w:sz w:val="20"/>
          <w:szCs w:val="20"/>
        </w:rPr>
      </w:pPr>
      <w:r w:rsidRPr="00751099">
        <w:rPr>
          <w:rFonts w:ascii="Century Gothic" w:hAnsi="Century Gothic"/>
          <w:sz w:val="20"/>
          <w:szCs w:val="20"/>
        </w:rPr>
        <w:t xml:space="preserve">Again, for the avoidance of doubt, this is no reason to not promote UNDRIP in legislation. Rather, </w:t>
      </w:r>
      <w:r w:rsidR="00410A11" w:rsidRPr="00751099">
        <w:rPr>
          <w:rFonts w:ascii="Century Gothic" w:hAnsi="Century Gothic"/>
          <w:sz w:val="20"/>
          <w:szCs w:val="20"/>
        </w:rPr>
        <w:t xml:space="preserve">it reflects the practical challenges in doing so, and need for </w:t>
      </w:r>
      <w:r w:rsidR="00806E25" w:rsidRPr="00751099">
        <w:rPr>
          <w:rFonts w:ascii="Century Gothic" w:hAnsi="Century Gothic"/>
          <w:sz w:val="20"/>
          <w:szCs w:val="20"/>
        </w:rPr>
        <w:t>careful and well-considered mechanisms,</w:t>
      </w:r>
      <w:r w:rsidR="00A536F2" w:rsidRPr="00751099">
        <w:rPr>
          <w:rFonts w:ascii="Century Gothic" w:hAnsi="Century Gothic"/>
          <w:sz w:val="20"/>
          <w:szCs w:val="20"/>
        </w:rPr>
        <w:t xml:space="preserve"> sequencing of reforms</w:t>
      </w:r>
      <w:r w:rsidR="00806E25" w:rsidRPr="00751099">
        <w:rPr>
          <w:rFonts w:ascii="Century Gothic" w:hAnsi="Century Gothic"/>
          <w:sz w:val="20"/>
          <w:szCs w:val="20"/>
        </w:rPr>
        <w:t xml:space="preserve"> and public engagement. </w:t>
      </w:r>
      <w:r w:rsidR="00A536F2" w:rsidRPr="00751099">
        <w:rPr>
          <w:rFonts w:ascii="Century Gothic" w:hAnsi="Century Gothic"/>
          <w:sz w:val="20"/>
          <w:szCs w:val="20"/>
        </w:rPr>
        <w:t xml:space="preserve">Failure to do so may risk </w:t>
      </w:r>
      <w:r w:rsidR="00E4541C" w:rsidRPr="00751099">
        <w:rPr>
          <w:rFonts w:ascii="Century Gothic" w:hAnsi="Century Gothic"/>
          <w:sz w:val="20"/>
          <w:szCs w:val="20"/>
        </w:rPr>
        <w:t xml:space="preserve">delivering only tokenistic change that does not meet the expectations of First Nations peoples, or reform that is not accepted or supported by broader democratic institutions. </w:t>
      </w:r>
    </w:p>
    <w:p w14:paraId="03E0EA9D" w14:textId="77777777" w:rsidR="0073462D" w:rsidRDefault="0073462D" w:rsidP="0073462D">
      <w:pPr>
        <w:rPr>
          <w:rFonts w:ascii="Century Gothic" w:hAnsi="Century Gothic"/>
          <w:sz w:val="20"/>
          <w:szCs w:val="20"/>
        </w:rPr>
      </w:pPr>
      <w:r w:rsidRPr="00D91812">
        <w:rPr>
          <w:rFonts w:ascii="Century Gothic" w:hAnsi="Century Gothic"/>
          <w:b/>
          <w:bCs/>
          <w:sz w:val="20"/>
          <w:szCs w:val="20"/>
        </w:rPr>
        <w:t>NIC recommend</w:t>
      </w:r>
      <w:r w:rsidRPr="00751099">
        <w:rPr>
          <w:rFonts w:ascii="Century Gothic" w:hAnsi="Century Gothic"/>
          <w:sz w:val="20"/>
          <w:szCs w:val="20"/>
        </w:rPr>
        <w:t xml:space="preserve"> that</w:t>
      </w:r>
      <w:r>
        <w:rPr>
          <w:rFonts w:ascii="Century Gothic" w:hAnsi="Century Gothic"/>
          <w:sz w:val="20"/>
          <w:szCs w:val="20"/>
        </w:rPr>
        <w:t>:</w:t>
      </w:r>
    </w:p>
    <w:p w14:paraId="7717E574" w14:textId="6EB900F9" w:rsidR="00AE6595" w:rsidRPr="00BC6CE4" w:rsidRDefault="0059221A" w:rsidP="006E26EC">
      <w:pPr>
        <w:pStyle w:val="ListParagraph"/>
        <w:numPr>
          <w:ilvl w:val="0"/>
          <w:numId w:val="47"/>
        </w:numPr>
        <w:jc w:val="both"/>
        <w:rPr>
          <w:rFonts w:ascii="Century Gothic" w:hAnsi="Century Gothic"/>
          <w:sz w:val="20"/>
          <w:szCs w:val="20"/>
        </w:rPr>
      </w:pPr>
      <w:r>
        <w:rPr>
          <w:rFonts w:ascii="Century Gothic" w:hAnsi="Century Gothic"/>
          <w:sz w:val="20"/>
          <w:szCs w:val="20"/>
        </w:rPr>
        <w:t xml:space="preserve">The review seeks to discern what falls within the scope of the water portfolio, and what requires much broader reform, to properly address. </w:t>
      </w:r>
    </w:p>
    <w:p w14:paraId="674C7C69" w14:textId="4552CFA5" w:rsidR="00A86875" w:rsidRPr="00BC6CE4" w:rsidRDefault="00A86875" w:rsidP="006E26EC">
      <w:pPr>
        <w:pStyle w:val="ListParagraph"/>
        <w:numPr>
          <w:ilvl w:val="0"/>
          <w:numId w:val="47"/>
        </w:numPr>
        <w:jc w:val="both"/>
        <w:rPr>
          <w:rFonts w:ascii="Century Gothic" w:hAnsi="Century Gothic"/>
          <w:sz w:val="20"/>
          <w:szCs w:val="20"/>
        </w:rPr>
      </w:pPr>
      <w:r>
        <w:rPr>
          <w:rFonts w:ascii="Century Gothic" w:hAnsi="Century Gothic"/>
          <w:sz w:val="20"/>
          <w:szCs w:val="20"/>
        </w:rPr>
        <w:t>A transparent</w:t>
      </w:r>
      <w:r w:rsidR="00367EB4">
        <w:rPr>
          <w:rFonts w:ascii="Century Gothic" w:hAnsi="Century Gothic"/>
          <w:sz w:val="20"/>
          <w:szCs w:val="20"/>
        </w:rPr>
        <w:t xml:space="preserve"> whole of Government approach should be enabled, rather than individual agencies, legislation or areas of Government to be considered and consistent. </w:t>
      </w:r>
    </w:p>
    <w:p w14:paraId="44CBEE0F" w14:textId="77777777" w:rsidR="00AE6595" w:rsidRPr="00751099" w:rsidRDefault="00AE6595" w:rsidP="00AE6595">
      <w:pPr>
        <w:pStyle w:val="Heading2"/>
        <w:rPr>
          <w:rFonts w:ascii="Century Gothic" w:hAnsi="Century Gothic"/>
          <w:sz w:val="28"/>
          <w:szCs w:val="28"/>
        </w:rPr>
      </w:pPr>
      <w:bookmarkStart w:id="16" w:name="_Toc233372733"/>
      <w:r w:rsidRPr="00751099">
        <w:rPr>
          <w:rFonts w:ascii="Century Gothic" w:hAnsi="Century Gothic"/>
          <w:sz w:val="28"/>
          <w:szCs w:val="28"/>
        </w:rPr>
        <w:t>Recognising the diversity of Indigenous interests</w:t>
      </w:r>
      <w:bookmarkEnd w:id="16"/>
    </w:p>
    <w:p w14:paraId="5E788E16" w14:textId="77777777" w:rsidR="00AE6595" w:rsidRPr="00751099" w:rsidRDefault="00AE6595" w:rsidP="00AE6595">
      <w:pPr>
        <w:rPr>
          <w:rFonts w:ascii="Century Gothic" w:hAnsi="Century Gothic"/>
          <w:sz w:val="20"/>
          <w:szCs w:val="20"/>
        </w:rPr>
      </w:pPr>
      <w:r w:rsidRPr="00751099">
        <w:rPr>
          <w:rFonts w:ascii="Century Gothic" w:hAnsi="Century Gothic"/>
          <w:sz w:val="20"/>
          <w:szCs w:val="20"/>
        </w:rPr>
        <w:t>It is important to acknowledge in this process the diversity of Indigenous interests.</w:t>
      </w:r>
    </w:p>
    <w:p w14:paraId="51EFDDA0" w14:textId="77777777" w:rsidR="00AE6595" w:rsidRPr="00751099" w:rsidRDefault="00AE6595" w:rsidP="00AE6595">
      <w:pPr>
        <w:rPr>
          <w:rFonts w:ascii="Century Gothic" w:hAnsi="Century Gothic"/>
          <w:sz w:val="20"/>
          <w:szCs w:val="20"/>
        </w:rPr>
      </w:pPr>
      <w:r w:rsidRPr="00751099">
        <w:rPr>
          <w:rFonts w:ascii="Century Gothic" w:hAnsi="Century Gothic"/>
          <w:sz w:val="20"/>
          <w:szCs w:val="20"/>
        </w:rPr>
        <w:t xml:space="preserve">As the Basin Plan legislation notes: </w:t>
      </w:r>
      <w:r w:rsidRPr="00751099">
        <w:rPr>
          <w:rFonts w:ascii="Century Gothic" w:hAnsi="Century Gothic"/>
          <w:i/>
          <w:iCs/>
          <w:sz w:val="20"/>
          <w:szCs w:val="20"/>
        </w:rPr>
        <w:t>“Indigenous use includes for cultural, social, environmental, spiritual and economic purposes.”</w:t>
      </w:r>
    </w:p>
    <w:p w14:paraId="789D4779" w14:textId="684CC734" w:rsidR="00AE6595" w:rsidRDefault="00C72914" w:rsidP="006E26EC">
      <w:pPr>
        <w:jc w:val="both"/>
        <w:rPr>
          <w:rFonts w:ascii="Century Gothic" w:hAnsi="Century Gothic"/>
          <w:sz w:val="20"/>
          <w:szCs w:val="20"/>
        </w:rPr>
      </w:pPr>
      <w:r>
        <w:rPr>
          <w:rFonts w:ascii="Century Gothic" w:hAnsi="Century Gothic"/>
          <w:sz w:val="20"/>
          <w:szCs w:val="20"/>
        </w:rPr>
        <w:t xml:space="preserve">There is likely not one solution to address all these areas – rather – various tools to promote better outcomes across these areas. </w:t>
      </w:r>
    </w:p>
    <w:p w14:paraId="123990A9" w14:textId="5C71F7DB" w:rsidR="00001A53" w:rsidRDefault="00001A53" w:rsidP="006E26EC">
      <w:pPr>
        <w:jc w:val="both"/>
        <w:rPr>
          <w:rFonts w:ascii="Century Gothic" w:hAnsi="Century Gothic"/>
          <w:sz w:val="20"/>
          <w:szCs w:val="20"/>
        </w:rPr>
      </w:pPr>
      <w:r>
        <w:rPr>
          <w:rFonts w:ascii="Century Gothic" w:hAnsi="Century Gothic"/>
          <w:sz w:val="20"/>
          <w:szCs w:val="20"/>
        </w:rPr>
        <w:t>It is also appreciated that Indigenous views are not homogenous, as per any population, and understanding the diversity of perspectives is important.</w:t>
      </w:r>
    </w:p>
    <w:p w14:paraId="32E56031" w14:textId="77777777" w:rsidR="00F65B63" w:rsidRDefault="00F65B63" w:rsidP="00F65B63">
      <w:pPr>
        <w:rPr>
          <w:rFonts w:ascii="Century Gothic" w:hAnsi="Century Gothic"/>
          <w:sz w:val="20"/>
          <w:szCs w:val="20"/>
        </w:rPr>
      </w:pPr>
      <w:r w:rsidRPr="00D91812">
        <w:rPr>
          <w:rFonts w:ascii="Century Gothic" w:hAnsi="Century Gothic"/>
          <w:b/>
          <w:bCs/>
          <w:sz w:val="20"/>
          <w:szCs w:val="20"/>
        </w:rPr>
        <w:t>NIC recommend</w:t>
      </w:r>
      <w:r w:rsidRPr="00751099">
        <w:rPr>
          <w:rFonts w:ascii="Century Gothic" w:hAnsi="Century Gothic"/>
          <w:sz w:val="20"/>
          <w:szCs w:val="20"/>
        </w:rPr>
        <w:t xml:space="preserve"> that</w:t>
      </w:r>
      <w:r>
        <w:rPr>
          <w:rFonts w:ascii="Century Gothic" w:hAnsi="Century Gothic"/>
          <w:sz w:val="20"/>
          <w:szCs w:val="20"/>
        </w:rPr>
        <w:t>:</w:t>
      </w:r>
    </w:p>
    <w:p w14:paraId="4C2B9D44" w14:textId="1E983909" w:rsidR="009D61DE" w:rsidRPr="00BC6CE4" w:rsidRDefault="00F65B63" w:rsidP="009D61DE">
      <w:pPr>
        <w:pStyle w:val="ListParagraph"/>
        <w:numPr>
          <w:ilvl w:val="0"/>
          <w:numId w:val="47"/>
        </w:numPr>
        <w:jc w:val="both"/>
        <w:rPr>
          <w:rFonts w:ascii="Century Gothic" w:hAnsi="Century Gothic"/>
          <w:sz w:val="20"/>
          <w:szCs w:val="20"/>
        </w:rPr>
      </w:pPr>
      <w:r>
        <w:rPr>
          <w:rFonts w:ascii="Century Gothic" w:hAnsi="Century Gothic"/>
          <w:sz w:val="20"/>
          <w:szCs w:val="20"/>
        </w:rPr>
        <w:t xml:space="preserve">Further public consultation seeks to identify specific targeted measures to address the diverse </w:t>
      </w:r>
      <w:r w:rsidR="00AA6629">
        <w:rPr>
          <w:rFonts w:ascii="Century Gothic" w:hAnsi="Century Gothic"/>
          <w:sz w:val="20"/>
          <w:szCs w:val="20"/>
        </w:rPr>
        <w:t>range of objectives sought</w:t>
      </w:r>
      <w:r w:rsidR="00001A53">
        <w:rPr>
          <w:rFonts w:ascii="Century Gothic" w:hAnsi="Century Gothic"/>
          <w:sz w:val="20"/>
          <w:szCs w:val="20"/>
        </w:rPr>
        <w:t xml:space="preserve">. </w:t>
      </w:r>
    </w:p>
    <w:p w14:paraId="176DB2D6" w14:textId="77777777" w:rsidR="009D61DE" w:rsidRDefault="009D61DE" w:rsidP="009D61DE">
      <w:pPr>
        <w:pStyle w:val="Heading2"/>
        <w:rPr>
          <w:rFonts w:ascii="Century Gothic" w:hAnsi="Century Gothic"/>
          <w:sz w:val="28"/>
          <w:szCs w:val="28"/>
        </w:rPr>
      </w:pPr>
      <w:bookmarkStart w:id="17" w:name="_Toc233372734"/>
      <w:r>
        <w:rPr>
          <w:rFonts w:ascii="Century Gothic" w:hAnsi="Century Gothic"/>
          <w:sz w:val="28"/>
          <w:szCs w:val="28"/>
        </w:rPr>
        <w:t>Exploring Synergies</w:t>
      </w:r>
      <w:bookmarkEnd w:id="17"/>
    </w:p>
    <w:p w14:paraId="01D6A2DE" w14:textId="4D6075DD" w:rsidR="001A0A8E" w:rsidRPr="001A0A8E" w:rsidRDefault="001A0A8E" w:rsidP="001A0A8E">
      <w:pPr>
        <w:pStyle w:val="Heading3"/>
      </w:pPr>
      <w:bookmarkStart w:id="18" w:name="_Toc233372735"/>
      <w:r w:rsidRPr="001A0A8E">
        <w:t>Cultural and environmental</w:t>
      </w:r>
      <w:bookmarkEnd w:id="18"/>
      <w:r w:rsidRPr="001A0A8E">
        <w:t xml:space="preserve"> </w:t>
      </w:r>
    </w:p>
    <w:p w14:paraId="66727B81" w14:textId="77777777" w:rsidR="009D61DE" w:rsidRDefault="009D61DE" w:rsidP="009D61DE">
      <w:pPr>
        <w:rPr>
          <w:rFonts w:ascii="Century Gothic" w:hAnsi="Century Gothic"/>
          <w:sz w:val="20"/>
          <w:szCs w:val="20"/>
        </w:rPr>
      </w:pPr>
      <w:r w:rsidRPr="00A41744">
        <w:rPr>
          <w:rFonts w:ascii="Century Gothic" w:hAnsi="Century Gothic"/>
          <w:sz w:val="20"/>
          <w:szCs w:val="20"/>
        </w:rPr>
        <w:t xml:space="preserve">It is recognised that </w:t>
      </w:r>
      <w:r>
        <w:rPr>
          <w:rFonts w:ascii="Century Gothic" w:hAnsi="Century Gothic"/>
          <w:sz w:val="20"/>
          <w:szCs w:val="20"/>
        </w:rPr>
        <w:t xml:space="preserve">cultural and environmental objectives are unique. However, there are also many synergies in these objectives, where programs and measures can deliver co-benefits. </w:t>
      </w:r>
    </w:p>
    <w:p w14:paraId="50F8F3CE" w14:textId="77777777" w:rsidR="009D61DE" w:rsidRDefault="009D61DE" w:rsidP="009D61DE">
      <w:pPr>
        <w:rPr>
          <w:rFonts w:ascii="Century Gothic" w:hAnsi="Century Gothic"/>
          <w:sz w:val="20"/>
          <w:szCs w:val="20"/>
        </w:rPr>
      </w:pPr>
      <w:r w:rsidRPr="00462C76">
        <w:rPr>
          <w:rFonts w:ascii="Century Gothic" w:hAnsi="Century Gothic"/>
          <w:sz w:val="20"/>
          <w:szCs w:val="20"/>
        </w:rPr>
        <w:t>NIC supports inclusive processes and partnerships that explore synergies between environmental, socio-economic, critical human needs and Cultural objectives to optimise outcomes for all.</w:t>
      </w:r>
    </w:p>
    <w:p w14:paraId="79AE0DE8" w14:textId="77777777" w:rsidR="009D61DE" w:rsidRDefault="009D61DE" w:rsidP="009D61DE">
      <w:pPr>
        <w:rPr>
          <w:rFonts w:ascii="Century Gothic" w:hAnsi="Century Gothic"/>
          <w:sz w:val="20"/>
          <w:szCs w:val="20"/>
        </w:rPr>
      </w:pPr>
      <w:r>
        <w:rPr>
          <w:rFonts w:ascii="Century Gothic" w:hAnsi="Century Gothic"/>
          <w:sz w:val="20"/>
          <w:szCs w:val="20"/>
        </w:rPr>
        <w:t xml:space="preserve">It is noted that </w:t>
      </w:r>
      <w:r w:rsidRPr="00CD791C">
        <w:rPr>
          <w:rFonts w:ascii="Century Gothic" w:hAnsi="Century Gothic"/>
          <w:sz w:val="20"/>
          <w:szCs w:val="20"/>
        </w:rPr>
        <w:t>the First Nations Environmental Water Guidance Project</w:t>
      </w:r>
      <w:r>
        <w:rPr>
          <w:rFonts w:ascii="Century Gothic" w:hAnsi="Century Gothic"/>
          <w:sz w:val="20"/>
          <w:szCs w:val="20"/>
        </w:rPr>
        <w:t xml:space="preserve"> was established in 2019-20. The MDBA says:</w:t>
      </w:r>
    </w:p>
    <w:p w14:paraId="255888F3" w14:textId="77777777" w:rsidR="009D61DE" w:rsidRDefault="009D61DE" w:rsidP="009D61DE">
      <w:pPr>
        <w:rPr>
          <w:rFonts w:ascii="Century Gothic" w:hAnsi="Century Gothic"/>
          <w:sz w:val="20"/>
          <w:szCs w:val="20"/>
        </w:rPr>
      </w:pPr>
      <w:r>
        <w:rPr>
          <w:rFonts w:ascii="Century Gothic" w:hAnsi="Century Gothic"/>
          <w:sz w:val="20"/>
          <w:szCs w:val="20"/>
        </w:rPr>
        <w:t xml:space="preserve"> “</w:t>
      </w:r>
      <w:r w:rsidRPr="003539AE">
        <w:rPr>
          <w:rFonts w:ascii="Century Gothic" w:hAnsi="Century Gothic"/>
          <w:i/>
          <w:iCs/>
          <w:sz w:val="20"/>
          <w:szCs w:val="20"/>
        </w:rPr>
        <w:t>water for the environment, aimed at improving river health, can also provide tangible benefits for First Nations people</w:t>
      </w:r>
      <w:r>
        <w:rPr>
          <w:rFonts w:ascii="Century Gothic" w:hAnsi="Century Gothic"/>
          <w:sz w:val="20"/>
          <w:szCs w:val="20"/>
        </w:rPr>
        <w:t xml:space="preserve">”. </w:t>
      </w:r>
    </w:p>
    <w:p w14:paraId="508A9BEE" w14:textId="77777777" w:rsidR="009D61DE" w:rsidRPr="00963996" w:rsidRDefault="009D61DE" w:rsidP="009D61DE">
      <w:pPr>
        <w:rPr>
          <w:rFonts w:ascii="Century Gothic" w:hAnsi="Century Gothic"/>
          <w:i/>
          <w:iCs/>
          <w:sz w:val="20"/>
          <w:szCs w:val="20"/>
        </w:rPr>
      </w:pPr>
      <w:r w:rsidRPr="00963996">
        <w:rPr>
          <w:rFonts w:ascii="Century Gothic" w:hAnsi="Century Gothic"/>
          <w:i/>
          <w:iCs/>
          <w:sz w:val="20"/>
          <w:szCs w:val="20"/>
        </w:rPr>
        <w:t>“Through this project NBAN and MLDRIN worked with First Nations to develop environmental watering objectives that describe tangible benefits experienced by First Nations people from the delivery of environmental water on Country.”</w:t>
      </w:r>
    </w:p>
    <w:p w14:paraId="708CE881" w14:textId="77777777" w:rsidR="009D61DE" w:rsidRDefault="009D61DE" w:rsidP="009D61DE">
      <w:pPr>
        <w:rPr>
          <w:rFonts w:ascii="Century Gothic" w:hAnsi="Century Gothic"/>
          <w:i/>
          <w:iCs/>
          <w:sz w:val="20"/>
          <w:szCs w:val="20"/>
        </w:rPr>
      </w:pPr>
      <w:r w:rsidRPr="00963996">
        <w:rPr>
          <w:rFonts w:ascii="Century Gothic" w:hAnsi="Century Gothic"/>
          <w:i/>
          <w:iCs/>
          <w:sz w:val="20"/>
          <w:szCs w:val="20"/>
        </w:rPr>
        <w:lastRenderedPageBreak/>
        <w:t>“This traditional ecological knowledge was used to develop the Basin-wide annual environmental watering priorities.”</w:t>
      </w:r>
      <w:r>
        <w:rPr>
          <w:rStyle w:val="FootnoteReference"/>
          <w:rFonts w:ascii="Century Gothic" w:hAnsi="Century Gothic"/>
          <w:i/>
          <w:iCs/>
          <w:sz w:val="20"/>
          <w:szCs w:val="20"/>
        </w:rPr>
        <w:footnoteReference w:id="2"/>
      </w:r>
    </w:p>
    <w:p w14:paraId="68C07E0B" w14:textId="77777777" w:rsidR="009D61DE" w:rsidRDefault="009D61DE" w:rsidP="009D61DE">
      <w:pPr>
        <w:rPr>
          <w:rFonts w:ascii="Century Gothic" w:hAnsi="Century Gothic"/>
          <w:sz w:val="20"/>
          <w:szCs w:val="20"/>
        </w:rPr>
      </w:pPr>
      <w:r>
        <w:rPr>
          <w:rFonts w:ascii="Century Gothic" w:hAnsi="Century Gothic"/>
          <w:sz w:val="20"/>
          <w:szCs w:val="20"/>
        </w:rPr>
        <w:t xml:space="preserve">The outcomes that are being achieved via the delivery of HEW (and PEW) on Country are important to identify, as well as what other supporting measures could further outcomes (such as Caring for Country programs, and complementary measures). </w:t>
      </w:r>
    </w:p>
    <w:p w14:paraId="0EC01D2A" w14:textId="420572E1" w:rsidR="001A0A8E" w:rsidRDefault="009D61DE" w:rsidP="009D61DE">
      <w:pPr>
        <w:rPr>
          <w:rFonts w:ascii="Century Gothic" w:hAnsi="Century Gothic"/>
          <w:sz w:val="20"/>
          <w:szCs w:val="20"/>
        </w:rPr>
      </w:pPr>
      <w:r>
        <w:rPr>
          <w:rFonts w:ascii="Century Gothic" w:hAnsi="Century Gothic"/>
          <w:sz w:val="20"/>
          <w:szCs w:val="20"/>
        </w:rPr>
        <w:t xml:space="preserve">There is also the </w:t>
      </w:r>
      <w:r w:rsidRPr="00265ED7">
        <w:rPr>
          <w:rFonts w:ascii="Century Gothic" w:hAnsi="Century Gothic"/>
          <w:sz w:val="20"/>
          <w:szCs w:val="20"/>
        </w:rPr>
        <w:t>National Cultural Flows Research Project</w:t>
      </w:r>
      <w:r>
        <w:rPr>
          <w:rStyle w:val="FootnoteReference"/>
          <w:rFonts w:ascii="Century Gothic" w:hAnsi="Century Gothic"/>
          <w:sz w:val="20"/>
          <w:szCs w:val="20"/>
        </w:rPr>
        <w:footnoteReference w:id="3"/>
      </w:r>
      <w:r>
        <w:rPr>
          <w:rFonts w:ascii="Century Gothic" w:hAnsi="Century Gothic"/>
          <w:sz w:val="20"/>
          <w:szCs w:val="20"/>
        </w:rPr>
        <w:t xml:space="preserve"> which provides information on cultural flows, including identification of both unique and shared objectives with environmental water. </w:t>
      </w:r>
    </w:p>
    <w:p w14:paraId="52790C8C" w14:textId="77777777" w:rsidR="001A0A8E" w:rsidRDefault="001A0A8E" w:rsidP="001A0A8E">
      <w:pPr>
        <w:pStyle w:val="Heading3"/>
      </w:pPr>
      <w:bookmarkStart w:id="19" w:name="_Toc233372736"/>
      <w:r w:rsidRPr="001A0A8E">
        <w:t xml:space="preserve">Cultural and </w:t>
      </w:r>
      <w:r>
        <w:t>socio-economic</w:t>
      </w:r>
      <w:bookmarkEnd w:id="19"/>
    </w:p>
    <w:p w14:paraId="54731BE7" w14:textId="106DCE6F" w:rsidR="00EB1001" w:rsidRDefault="00EB1001" w:rsidP="004E40CA">
      <w:pPr>
        <w:rPr>
          <w:rFonts w:ascii="Century Gothic" w:hAnsi="Century Gothic"/>
          <w:sz w:val="20"/>
          <w:szCs w:val="20"/>
        </w:rPr>
      </w:pPr>
      <w:r>
        <w:rPr>
          <w:rFonts w:ascii="Century Gothic" w:hAnsi="Century Gothic"/>
          <w:sz w:val="20"/>
          <w:szCs w:val="20"/>
        </w:rPr>
        <w:t>NIC agree with the statement in the</w:t>
      </w:r>
      <w:r w:rsidR="00F04A12">
        <w:rPr>
          <w:rFonts w:ascii="Century Gothic" w:hAnsi="Century Gothic"/>
          <w:sz w:val="20"/>
          <w:szCs w:val="20"/>
        </w:rPr>
        <w:t xml:space="preserve"> </w:t>
      </w:r>
      <w:r w:rsidR="005E6D25">
        <w:rPr>
          <w:rFonts w:ascii="Century Gothic" w:hAnsi="Century Gothic"/>
          <w:sz w:val="20"/>
          <w:szCs w:val="20"/>
        </w:rPr>
        <w:t>independent</w:t>
      </w:r>
      <w:r w:rsidR="00F04A12" w:rsidRPr="00F04A12">
        <w:rPr>
          <w:rFonts w:ascii="Century Gothic" w:hAnsi="Century Gothic"/>
          <w:sz w:val="20"/>
          <w:szCs w:val="20"/>
        </w:rPr>
        <w:t xml:space="preserve"> assessment of social and economic conditions in the Murray–Darling Basin</w:t>
      </w:r>
      <w:r w:rsidR="00F04A12">
        <w:rPr>
          <w:rFonts w:ascii="Century Gothic" w:hAnsi="Century Gothic"/>
          <w:sz w:val="20"/>
          <w:szCs w:val="20"/>
        </w:rPr>
        <w:t>:</w:t>
      </w:r>
    </w:p>
    <w:p w14:paraId="4B03422F" w14:textId="6C9E904A" w:rsidR="00EB1001" w:rsidRPr="00EB1001" w:rsidRDefault="00EB1001" w:rsidP="004E40CA">
      <w:pPr>
        <w:rPr>
          <w:rFonts w:ascii="Century Gothic" w:hAnsi="Century Gothic"/>
          <w:i/>
          <w:iCs/>
          <w:sz w:val="20"/>
          <w:szCs w:val="20"/>
        </w:rPr>
      </w:pPr>
      <w:r w:rsidRPr="00EB1001">
        <w:rPr>
          <w:rFonts w:ascii="Century Gothic" w:hAnsi="Century Gothic"/>
          <w:i/>
          <w:iCs/>
          <w:sz w:val="20"/>
          <w:szCs w:val="20"/>
        </w:rPr>
        <w:t>“Our hearts sink when we observe the current circumstances of First Nations peoples in the Basin and we call for urgent change to improve their social and economic circumstances.”</w:t>
      </w:r>
      <w:r w:rsidR="00E469B1">
        <w:rPr>
          <w:rStyle w:val="FootnoteReference"/>
          <w:rFonts w:ascii="Century Gothic" w:hAnsi="Century Gothic"/>
          <w:i/>
          <w:iCs/>
          <w:sz w:val="20"/>
          <w:szCs w:val="20"/>
        </w:rPr>
        <w:footnoteReference w:id="4"/>
      </w:r>
    </w:p>
    <w:p w14:paraId="0C843F7E" w14:textId="2289B4E5" w:rsidR="001A0A8E" w:rsidRPr="004E40CA" w:rsidRDefault="001A0A8E" w:rsidP="004E40CA">
      <w:pPr>
        <w:rPr>
          <w:rFonts w:ascii="Century Gothic" w:hAnsi="Century Gothic"/>
          <w:sz w:val="20"/>
          <w:szCs w:val="20"/>
        </w:rPr>
      </w:pPr>
      <w:r w:rsidRPr="004E40CA">
        <w:rPr>
          <w:rFonts w:ascii="Century Gothic" w:hAnsi="Century Gothic"/>
          <w:sz w:val="20"/>
          <w:szCs w:val="20"/>
        </w:rPr>
        <w:t>It will be important to recognise the intersections between cultural and socio-economic outcomes too, which includes the role of water for production (i.e. irrigated agriculture) to provide an economic base for rural communities</w:t>
      </w:r>
      <w:r w:rsidR="007020A1" w:rsidRPr="004E40CA">
        <w:rPr>
          <w:rFonts w:ascii="Century Gothic" w:hAnsi="Century Gothic"/>
          <w:sz w:val="20"/>
          <w:szCs w:val="20"/>
        </w:rPr>
        <w:t>, both Indigenous and non-Indigenous</w:t>
      </w:r>
      <w:r w:rsidRPr="004E40CA">
        <w:rPr>
          <w:rFonts w:ascii="Century Gothic" w:hAnsi="Century Gothic"/>
          <w:sz w:val="20"/>
          <w:szCs w:val="20"/>
        </w:rPr>
        <w:t>. The social and economic benefits from</w:t>
      </w:r>
      <w:r w:rsidR="007020A1" w:rsidRPr="004E40CA">
        <w:rPr>
          <w:rFonts w:ascii="Century Gothic" w:hAnsi="Century Gothic"/>
          <w:sz w:val="20"/>
          <w:szCs w:val="20"/>
        </w:rPr>
        <w:t xml:space="preserve"> irrigated agriculture </w:t>
      </w:r>
      <w:r w:rsidR="00C530B2" w:rsidRPr="004E40CA">
        <w:rPr>
          <w:rFonts w:ascii="Century Gothic" w:hAnsi="Century Gothic"/>
          <w:sz w:val="20"/>
          <w:szCs w:val="20"/>
        </w:rPr>
        <w:t xml:space="preserve">span </w:t>
      </w:r>
      <w:r w:rsidR="005E6D25" w:rsidRPr="004E40CA">
        <w:rPr>
          <w:rFonts w:ascii="Century Gothic" w:hAnsi="Century Gothic"/>
          <w:sz w:val="20"/>
          <w:szCs w:val="20"/>
        </w:rPr>
        <w:t>from increased employment</w:t>
      </w:r>
      <w:r w:rsidR="001708FE" w:rsidRPr="004E40CA">
        <w:rPr>
          <w:rFonts w:ascii="Century Gothic" w:hAnsi="Century Gothic"/>
          <w:sz w:val="20"/>
          <w:szCs w:val="20"/>
        </w:rPr>
        <w:t xml:space="preserve"> </w:t>
      </w:r>
      <w:r w:rsidR="00C530B2" w:rsidRPr="004E40CA">
        <w:rPr>
          <w:rFonts w:ascii="Century Gothic" w:hAnsi="Century Gothic"/>
          <w:sz w:val="20"/>
          <w:szCs w:val="20"/>
        </w:rPr>
        <w:t xml:space="preserve">to </w:t>
      </w:r>
      <w:r w:rsidR="001708FE" w:rsidRPr="004E40CA">
        <w:rPr>
          <w:rFonts w:ascii="Century Gothic" w:hAnsi="Century Gothic"/>
          <w:sz w:val="20"/>
          <w:szCs w:val="20"/>
        </w:rPr>
        <w:t>increased service access such as healthcare and education</w:t>
      </w:r>
      <w:r w:rsidR="00C530B2" w:rsidRPr="004E40CA">
        <w:rPr>
          <w:rFonts w:ascii="Century Gothic" w:hAnsi="Century Gothic"/>
          <w:sz w:val="20"/>
          <w:szCs w:val="20"/>
        </w:rPr>
        <w:t xml:space="preserve">. </w:t>
      </w:r>
    </w:p>
    <w:p w14:paraId="4EE60543" w14:textId="36813E74" w:rsidR="00C530B2" w:rsidRDefault="00753DDD" w:rsidP="00C530B2">
      <w:pPr>
        <w:rPr>
          <w:rFonts w:ascii="Century Gothic" w:hAnsi="Century Gothic"/>
          <w:sz w:val="20"/>
          <w:szCs w:val="20"/>
        </w:rPr>
      </w:pPr>
      <w:r w:rsidRPr="00753DDD">
        <w:rPr>
          <w:rFonts w:ascii="Century Gothic" w:hAnsi="Century Gothic"/>
          <w:sz w:val="20"/>
          <w:szCs w:val="20"/>
        </w:rPr>
        <w:t xml:space="preserve">The impacts </w:t>
      </w:r>
      <w:r>
        <w:rPr>
          <w:rFonts w:ascii="Century Gothic" w:hAnsi="Century Gothic"/>
          <w:sz w:val="20"/>
          <w:szCs w:val="20"/>
        </w:rPr>
        <w:t>from water reforms that seeks to remove water from production have seldom explored this reality of the impacts across all sectors of the community.</w:t>
      </w:r>
    </w:p>
    <w:p w14:paraId="670D8FEF" w14:textId="7F741036" w:rsidR="00753DDD" w:rsidRDefault="00637172" w:rsidP="00C530B2">
      <w:pPr>
        <w:rPr>
          <w:rFonts w:ascii="Century Gothic" w:hAnsi="Century Gothic"/>
          <w:sz w:val="20"/>
          <w:szCs w:val="20"/>
        </w:rPr>
      </w:pPr>
      <w:r>
        <w:rPr>
          <w:rFonts w:ascii="Century Gothic" w:hAnsi="Century Gothic"/>
          <w:sz w:val="20"/>
          <w:szCs w:val="20"/>
        </w:rPr>
        <w:t xml:space="preserve">The </w:t>
      </w:r>
      <w:r w:rsidR="00753DDD">
        <w:rPr>
          <w:rFonts w:ascii="Century Gothic" w:hAnsi="Century Gothic"/>
          <w:sz w:val="20"/>
          <w:szCs w:val="20"/>
        </w:rPr>
        <w:t xml:space="preserve">Bourke Shire Council </w:t>
      </w:r>
      <w:r>
        <w:rPr>
          <w:rFonts w:ascii="Century Gothic" w:hAnsi="Century Gothic"/>
          <w:sz w:val="20"/>
          <w:szCs w:val="20"/>
        </w:rPr>
        <w:t xml:space="preserve">– a community with a relatively large Indigenous population - </w:t>
      </w:r>
      <w:r w:rsidR="00753DDD">
        <w:rPr>
          <w:rFonts w:ascii="Century Gothic" w:hAnsi="Century Gothic"/>
          <w:sz w:val="20"/>
          <w:szCs w:val="20"/>
        </w:rPr>
        <w:t xml:space="preserve">has </w:t>
      </w:r>
      <w:r>
        <w:rPr>
          <w:rFonts w:ascii="Century Gothic" w:hAnsi="Century Gothic"/>
          <w:sz w:val="20"/>
          <w:szCs w:val="20"/>
        </w:rPr>
        <w:t>said:</w:t>
      </w:r>
    </w:p>
    <w:p w14:paraId="548E7DF7" w14:textId="298581A0" w:rsidR="00F54F3F" w:rsidRPr="00F54F3F" w:rsidRDefault="00F54F3F" w:rsidP="00C530B2">
      <w:pPr>
        <w:rPr>
          <w:rFonts w:ascii="Century Gothic" w:hAnsi="Century Gothic"/>
          <w:i/>
          <w:iCs/>
          <w:sz w:val="20"/>
          <w:szCs w:val="20"/>
        </w:rPr>
      </w:pPr>
      <w:r w:rsidRPr="00F54F3F">
        <w:rPr>
          <w:rFonts w:ascii="Century Gothic" w:hAnsi="Century Gothic"/>
          <w:i/>
          <w:iCs/>
          <w:sz w:val="20"/>
          <w:szCs w:val="20"/>
        </w:rPr>
        <w:t xml:space="preserve">“The township of Bourke, and the surrounding Shire, is a community in the Basin that has been significantly impacted </w:t>
      </w:r>
      <w:r w:rsidR="00802D77" w:rsidRPr="00F54F3F">
        <w:rPr>
          <w:rFonts w:ascii="Century Gothic" w:hAnsi="Century Gothic"/>
          <w:i/>
          <w:iCs/>
          <w:sz w:val="20"/>
          <w:szCs w:val="20"/>
        </w:rPr>
        <w:t>because of</w:t>
      </w:r>
      <w:r w:rsidRPr="00F54F3F">
        <w:rPr>
          <w:rFonts w:ascii="Century Gothic" w:hAnsi="Century Gothic"/>
          <w:i/>
          <w:iCs/>
          <w:sz w:val="20"/>
          <w:szCs w:val="20"/>
        </w:rPr>
        <w:t xml:space="preserve"> the implementation of the surface water diversions Cap (the Cap) and from the water buy </w:t>
      </w:r>
      <w:r w:rsidR="005E6D25" w:rsidRPr="00F54F3F">
        <w:rPr>
          <w:rFonts w:ascii="Century Gothic" w:hAnsi="Century Gothic"/>
          <w:i/>
          <w:iCs/>
          <w:sz w:val="20"/>
          <w:szCs w:val="20"/>
        </w:rPr>
        <w:t>back.</w:t>
      </w:r>
      <w:r w:rsidRPr="00F54F3F">
        <w:rPr>
          <w:rFonts w:ascii="Century Gothic" w:hAnsi="Century Gothic"/>
          <w:i/>
          <w:iCs/>
          <w:sz w:val="20"/>
          <w:szCs w:val="20"/>
        </w:rPr>
        <w:t xml:space="preserve"> It has been estimated that up to 60% of the local economy has been impacted as a result of the implementation of the Cap process with a further 10% of the economy impacted through the water buyback process. Both these processes have resulted in both economic and social reduction.”</w:t>
      </w:r>
      <w:r>
        <w:rPr>
          <w:rStyle w:val="FootnoteReference"/>
          <w:rFonts w:ascii="Century Gothic" w:hAnsi="Century Gothic"/>
          <w:i/>
          <w:iCs/>
          <w:sz w:val="20"/>
          <w:szCs w:val="20"/>
        </w:rPr>
        <w:footnoteReference w:id="5"/>
      </w:r>
    </w:p>
    <w:p w14:paraId="4124B27F" w14:textId="5F832B24" w:rsidR="00753DDD" w:rsidRPr="00DB4171" w:rsidRDefault="00753DDD" w:rsidP="00C530B2">
      <w:pPr>
        <w:rPr>
          <w:rFonts w:ascii="Century Gothic" w:hAnsi="Century Gothic"/>
          <w:i/>
          <w:iCs/>
          <w:sz w:val="20"/>
          <w:szCs w:val="20"/>
        </w:rPr>
      </w:pPr>
      <w:r w:rsidRPr="00DB4171">
        <w:rPr>
          <w:rFonts w:ascii="Century Gothic" w:hAnsi="Century Gothic"/>
          <w:i/>
          <w:iCs/>
          <w:sz w:val="20"/>
          <w:szCs w:val="20"/>
        </w:rPr>
        <w:t>“</w:t>
      </w:r>
      <w:r w:rsidR="00637172" w:rsidRPr="00DB4171">
        <w:rPr>
          <w:rFonts w:ascii="Century Gothic" w:hAnsi="Century Gothic"/>
          <w:i/>
          <w:iCs/>
          <w:sz w:val="20"/>
          <w:szCs w:val="20"/>
        </w:rPr>
        <w:t xml:space="preserve">Furthermore, after enduring further wealth loss through buybacks, the Bourke community stands to lose further social capital with the current Bridging </w:t>
      </w:r>
      <w:r w:rsidR="005E6D25" w:rsidRPr="00DB4171">
        <w:rPr>
          <w:rFonts w:ascii="Century Gothic" w:hAnsi="Century Gothic"/>
          <w:i/>
          <w:iCs/>
          <w:sz w:val="20"/>
          <w:szCs w:val="20"/>
        </w:rPr>
        <w:t>the</w:t>
      </w:r>
      <w:r w:rsidR="00637172" w:rsidRPr="00DB4171">
        <w:rPr>
          <w:rFonts w:ascii="Century Gothic" w:hAnsi="Century Gothic"/>
          <w:i/>
          <w:iCs/>
          <w:sz w:val="20"/>
          <w:szCs w:val="20"/>
        </w:rPr>
        <w:t xml:space="preserve"> Gap voluntary buyback.</w:t>
      </w:r>
    </w:p>
    <w:p w14:paraId="3F2CF0C5" w14:textId="768DF76E" w:rsidR="00637172" w:rsidRPr="00DB4171" w:rsidRDefault="00DB4171" w:rsidP="00C530B2">
      <w:pPr>
        <w:rPr>
          <w:rFonts w:ascii="Century Gothic" w:hAnsi="Century Gothic"/>
          <w:i/>
          <w:iCs/>
          <w:sz w:val="20"/>
          <w:szCs w:val="20"/>
        </w:rPr>
      </w:pPr>
      <w:r w:rsidRPr="00F04A12">
        <w:rPr>
          <w:rFonts w:ascii="Century Gothic" w:hAnsi="Century Gothic"/>
          <w:b/>
          <w:bCs/>
          <w:i/>
          <w:iCs/>
          <w:sz w:val="20"/>
          <w:szCs w:val="20"/>
        </w:rPr>
        <w:t>A further permanent reduction in water is likely to permanently constrain any economic and social recovery of Bourke and entrench and significantly worsen existing high levels of social disadvantage, particularly among its large indigenous population</w:t>
      </w:r>
      <w:r w:rsidRPr="00DB4171">
        <w:rPr>
          <w:rFonts w:ascii="Century Gothic" w:hAnsi="Century Gothic"/>
          <w:i/>
          <w:iCs/>
          <w:sz w:val="20"/>
          <w:szCs w:val="20"/>
        </w:rPr>
        <w:t>.”</w:t>
      </w:r>
      <w:r>
        <w:rPr>
          <w:rStyle w:val="FootnoteReference"/>
          <w:rFonts w:ascii="Century Gothic" w:hAnsi="Century Gothic"/>
          <w:i/>
          <w:iCs/>
          <w:sz w:val="20"/>
          <w:szCs w:val="20"/>
        </w:rPr>
        <w:footnoteReference w:id="6"/>
      </w:r>
    </w:p>
    <w:p w14:paraId="03CFA37E" w14:textId="28FA3FB2" w:rsidR="001A0A8E" w:rsidRPr="00221CAD" w:rsidRDefault="002D1BC9" w:rsidP="009D61DE">
      <w:pPr>
        <w:rPr>
          <w:rFonts w:ascii="Century Gothic" w:hAnsi="Century Gothic"/>
          <w:sz w:val="20"/>
          <w:szCs w:val="20"/>
        </w:rPr>
      </w:pPr>
      <w:r>
        <w:rPr>
          <w:rFonts w:ascii="Century Gothic" w:hAnsi="Century Gothic"/>
          <w:sz w:val="20"/>
          <w:szCs w:val="20"/>
        </w:rPr>
        <w:t xml:space="preserve">It will be important for the review to capture this synergy, on the role of irrigated agriculture and water for production, </w:t>
      </w:r>
      <w:r w:rsidR="00B55056">
        <w:rPr>
          <w:rFonts w:ascii="Century Gothic" w:hAnsi="Century Gothic"/>
          <w:sz w:val="20"/>
          <w:szCs w:val="20"/>
        </w:rPr>
        <w:t>for</w:t>
      </w:r>
      <w:r>
        <w:rPr>
          <w:rFonts w:ascii="Century Gothic" w:hAnsi="Century Gothic"/>
          <w:sz w:val="20"/>
          <w:szCs w:val="20"/>
        </w:rPr>
        <w:t xml:space="preserve"> rural social and economic outcomes</w:t>
      </w:r>
      <w:r w:rsidR="00B55056">
        <w:rPr>
          <w:rFonts w:ascii="Century Gothic" w:hAnsi="Century Gothic"/>
          <w:sz w:val="20"/>
          <w:szCs w:val="20"/>
        </w:rPr>
        <w:t xml:space="preserve"> which includes Indigenous outcomes. </w:t>
      </w:r>
    </w:p>
    <w:p w14:paraId="77D80D5B" w14:textId="77777777" w:rsidR="009D61DE" w:rsidRDefault="009D61DE" w:rsidP="009D61DE">
      <w:pPr>
        <w:rPr>
          <w:rFonts w:ascii="Century Gothic" w:hAnsi="Century Gothic"/>
          <w:sz w:val="20"/>
          <w:szCs w:val="20"/>
        </w:rPr>
      </w:pPr>
      <w:r w:rsidRPr="00D91812">
        <w:rPr>
          <w:rFonts w:ascii="Century Gothic" w:hAnsi="Century Gothic"/>
          <w:b/>
          <w:bCs/>
          <w:sz w:val="20"/>
          <w:szCs w:val="20"/>
        </w:rPr>
        <w:lastRenderedPageBreak/>
        <w:t>NIC recommend</w:t>
      </w:r>
      <w:r w:rsidRPr="00751099">
        <w:rPr>
          <w:rFonts w:ascii="Century Gothic" w:hAnsi="Century Gothic"/>
          <w:sz w:val="20"/>
          <w:szCs w:val="20"/>
        </w:rPr>
        <w:t xml:space="preserve"> that</w:t>
      </w:r>
      <w:r>
        <w:rPr>
          <w:rFonts w:ascii="Century Gothic" w:hAnsi="Century Gothic"/>
          <w:sz w:val="20"/>
          <w:szCs w:val="20"/>
        </w:rPr>
        <w:t>:</w:t>
      </w:r>
    </w:p>
    <w:p w14:paraId="36854AE1" w14:textId="2653E1D3" w:rsidR="009D61DE" w:rsidRDefault="009D61DE" w:rsidP="009D61DE">
      <w:pPr>
        <w:pStyle w:val="ListParagraph"/>
        <w:numPr>
          <w:ilvl w:val="0"/>
          <w:numId w:val="49"/>
        </w:numPr>
        <w:rPr>
          <w:rFonts w:ascii="Century Gothic" w:hAnsi="Century Gothic"/>
          <w:sz w:val="20"/>
          <w:szCs w:val="20"/>
        </w:rPr>
      </w:pPr>
      <w:r>
        <w:rPr>
          <w:rFonts w:ascii="Century Gothic" w:hAnsi="Century Gothic"/>
          <w:sz w:val="20"/>
          <w:szCs w:val="20"/>
        </w:rPr>
        <w:t xml:space="preserve">Public consultation materials </w:t>
      </w:r>
      <w:r w:rsidR="00F71964">
        <w:rPr>
          <w:rFonts w:ascii="Century Gothic" w:hAnsi="Century Gothic"/>
          <w:sz w:val="20"/>
          <w:szCs w:val="20"/>
        </w:rPr>
        <w:t xml:space="preserve">must </w:t>
      </w:r>
      <w:r>
        <w:rPr>
          <w:rFonts w:ascii="Century Gothic" w:hAnsi="Century Gothic"/>
          <w:sz w:val="20"/>
          <w:szCs w:val="20"/>
        </w:rPr>
        <w:t>do a better job of clarifying specifically what cultural outcomes are being sought – and how these can be achieved;</w:t>
      </w:r>
    </w:p>
    <w:p w14:paraId="34FADFEF" w14:textId="75614B8D" w:rsidR="009D61DE" w:rsidRPr="0097626D" w:rsidRDefault="009D61DE" w:rsidP="0097626D">
      <w:pPr>
        <w:pStyle w:val="ListParagraph"/>
        <w:numPr>
          <w:ilvl w:val="0"/>
          <w:numId w:val="49"/>
        </w:numPr>
        <w:rPr>
          <w:rFonts w:ascii="Century Gothic" w:hAnsi="Century Gothic"/>
          <w:sz w:val="20"/>
          <w:szCs w:val="20"/>
        </w:rPr>
      </w:pPr>
      <w:r>
        <w:rPr>
          <w:rFonts w:ascii="Century Gothic" w:hAnsi="Century Gothic"/>
          <w:sz w:val="20"/>
          <w:szCs w:val="20"/>
        </w:rPr>
        <w:t xml:space="preserve">Opportunities for synergies and co-benefit outcomes </w:t>
      </w:r>
      <w:r w:rsidR="00F71964">
        <w:rPr>
          <w:rFonts w:ascii="Century Gothic" w:hAnsi="Century Gothic"/>
          <w:sz w:val="20"/>
          <w:szCs w:val="20"/>
        </w:rPr>
        <w:t>need to be</w:t>
      </w:r>
      <w:r>
        <w:rPr>
          <w:rFonts w:ascii="Century Gothic" w:hAnsi="Century Gothic"/>
          <w:sz w:val="20"/>
          <w:szCs w:val="20"/>
        </w:rPr>
        <w:t xml:space="preserve"> identified, rather than a purely siloed approach. </w:t>
      </w:r>
    </w:p>
    <w:p w14:paraId="6941B71F" w14:textId="3A27E90A" w:rsidR="009D61DE" w:rsidRPr="00444799" w:rsidRDefault="009D61DE" w:rsidP="009D61DE">
      <w:pPr>
        <w:pStyle w:val="Heading2"/>
        <w:rPr>
          <w:rFonts w:ascii="Century Gothic" w:hAnsi="Century Gothic"/>
          <w:sz w:val="28"/>
          <w:szCs w:val="28"/>
        </w:rPr>
      </w:pPr>
      <w:bookmarkStart w:id="20" w:name="_Toc233372737"/>
      <w:r w:rsidRPr="00444799">
        <w:rPr>
          <w:rFonts w:ascii="Century Gothic" w:hAnsi="Century Gothic"/>
          <w:sz w:val="28"/>
          <w:szCs w:val="28"/>
        </w:rPr>
        <w:t>Building on successes</w:t>
      </w:r>
      <w:bookmarkEnd w:id="20"/>
    </w:p>
    <w:p w14:paraId="191B0651" w14:textId="77777777" w:rsidR="009D61DE" w:rsidRDefault="009D61DE" w:rsidP="009D61DE">
      <w:pPr>
        <w:rPr>
          <w:rFonts w:ascii="Century Gothic" w:hAnsi="Century Gothic"/>
          <w:sz w:val="20"/>
          <w:szCs w:val="20"/>
        </w:rPr>
      </w:pPr>
      <w:r>
        <w:rPr>
          <w:rFonts w:ascii="Century Gothic" w:hAnsi="Century Gothic"/>
          <w:sz w:val="20"/>
          <w:szCs w:val="20"/>
        </w:rPr>
        <w:t>There are many positive examples of First Nations Partnerships and successes, across the Basin and Australia, which show what is possible. This includes t</w:t>
      </w:r>
      <w:r w:rsidRPr="00EB5F41">
        <w:rPr>
          <w:rFonts w:ascii="Century Gothic" w:hAnsi="Century Gothic"/>
          <w:sz w:val="20"/>
          <w:szCs w:val="20"/>
        </w:rPr>
        <w:t>he Living Murray Indigenous Partnerships Program</w:t>
      </w:r>
      <w:r>
        <w:rPr>
          <w:rStyle w:val="FootnoteReference"/>
          <w:rFonts w:ascii="Century Gothic" w:hAnsi="Century Gothic"/>
          <w:sz w:val="20"/>
          <w:szCs w:val="20"/>
        </w:rPr>
        <w:footnoteReference w:id="7"/>
      </w:r>
      <w:r w:rsidRPr="00EB5F41">
        <w:rPr>
          <w:rFonts w:ascii="Century Gothic" w:hAnsi="Century Gothic"/>
          <w:sz w:val="20"/>
          <w:szCs w:val="20"/>
        </w:rPr>
        <w:t> </w:t>
      </w:r>
      <w:r>
        <w:rPr>
          <w:rFonts w:ascii="Century Gothic" w:hAnsi="Century Gothic"/>
          <w:sz w:val="20"/>
          <w:szCs w:val="20"/>
        </w:rPr>
        <w:t xml:space="preserve"> as well as projects such as </w:t>
      </w:r>
      <w:r w:rsidRPr="00EB5F41">
        <w:rPr>
          <w:rFonts w:ascii="Century Gothic" w:hAnsi="Century Gothic"/>
          <w:sz w:val="20"/>
          <w:szCs w:val="20"/>
        </w:rPr>
        <w:t>Gayini Nimmie-Caira Project</w:t>
      </w:r>
      <w:r>
        <w:rPr>
          <w:rFonts w:ascii="Century Gothic" w:hAnsi="Century Gothic"/>
          <w:sz w:val="20"/>
          <w:szCs w:val="20"/>
        </w:rPr>
        <w:t xml:space="preserve">, and many others. </w:t>
      </w:r>
    </w:p>
    <w:p w14:paraId="3CCE140A" w14:textId="77777777" w:rsidR="009D61DE" w:rsidRDefault="009D61DE" w:rsidP="009D61DE">
      <w:pPr>
        <w:rPr>
          <w:rFonts w:ascii="Century Gothic" w:hAnsi="Century Gothic"/>
          <w:sz w:val="20"/>
          <w:szCs w:val="20"/>
        </w:rPr>
      </w:pPr>
      <w:r>
        <w:rPr>
          <w:rFonts w:ascii="Century Gothic" w:hAnsi="Century Gothic"/>
          <w:sz w:val="20"/>
          <w:szCs w:val="20"/>
        </w:rPr>
        <w:t>The MDBA has collated ‘</w:t>
      </w:r>
      <w:r w:rsidRPr="001651F3">
        <w:rPr>
          <w:rFonts w:ascii="Century Gothic" w:hAnsi="Century Gothic"/>
          <w:i/>
          <w:iCs/>
          <w:sz w:val="20"/>
          <w:szCs w:val="20"/>
        </w:rPr>
        <w:t>Stories of First Nations delivering benefits to Country and communities</w:t>
      </w:r>
      <w:r>
        <w:rPr>
          <w:rFonts w:ascii="Century Gothic" w:hAnsi="Century Gothic"/>
          <w:sz w:val="20"/>
          <w:szCs w:val="20"/>
        </w:rPr>
        <w:t>’ with an extensive collection of examples now published.</w:t>
      </w:r>
      <w:r>
        <w:rPr>
          <w:rStyle w:val="FootnoteReference"/>
          <w:rFonts w:ascii="Century Gothic" w:hAnsi="Century Gothic"/>
          <w:sz w:val="20"/>
          <w:szCs w:val="20"/>
        </w:rPr>
        <w:footnoteReference w:id="8"/>
      </w:r>
      <w:r>
        <w:rPr>
          <w:rStyle w:val="FootnoteReference"/>
          <w:rFonts w:ascii="Century Gothic" w:hAnsi="Century Gothic"/>
          <w:sz w:val="20"/>
          <w:szCs w:val="20"/>
        </w:rPr>
        <w:footnoteReference w:id="9"/>
      </w:r>
    </w:p>
    <w:p w14:paraId="48E38977" w14:textId="77777777" w:rsidR="009D61DE" w:rsidRPr="00EB5F41" w:rsidRDefault="009D61DE" w:rsidP="009D61DE">
      <w:pPr>
        <w:rPr>
          <w:rFonts w:ascii="Century Gothic" w:hAnsi="Century Gothic"/>
          <w:sz w:val="20"/>
          <w:szCs w:val="20"/>
        </w:rPr>
      </w:pPr>
      <w:r w:rsidRPr="00D10E09">
        <w:rPr>
          <w:rFonts w:ascii="Century Gothic" w:hAnsi="Century Gothic"/>
          <w:noProof/>
          <w:sz w:val="20"/>
          <w:szCs w:val="20"/>
        </w:rPr>
        <w:drawing>
          <wp:inline distT="0" distB="0" distL="0" distR="0" wp14:anchorId="69A76510" wp14:editId="55DD10DF">
            <wp:extent cx="5731510" cy="3145790"/>
            <wp:effectExtent l="0" t="0" r="2540" b="0"/>
            <wp:docPr id="1442743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43882" name=""/>
                    <pic:cNvPicPr/>
                  </pic:nvPicPr>
                  <pic:blipFill>
                    <a:blip r:embed="rId22"/>
                    <a:stretch>
                      <a:fillRect/>
                    </a:stretch>
                  </pic:blipFill>
                  <pic:spPr>
                    <a:xfrm>
                      <a:off x="0" y="0"/>
                      <a:ext cx="5731510" cy="3145790"/>
                    </a:xfrm>
                    <a:prstGeom prst="rect">
                      <a:avLst/>
                    </a:prstGeom>
                  </pic:spPr>
                </pic:pic>
              </a:graphicData>
            </a:graphic>
          </wp:inline>
        </w:drawing>
      </w:r>
    </w:p>
    <w:p w14:paraId="5C1D7F28" w14:textId="77777777" w:rsidR="009D61DE" w:rsidRDefault="009D61DE" w:rsidP="009D61DE">
      <w:pPr>
        <w:rPr>
          <w:rFonts w:ascii="Century Gothic" w:hAnsi="Century Gothic"/>
          <w:sz w:val="20"/>
          <w:szCs w:val="20"/>
        </w:rPr>
      </w:pPr>
      <w:r>
        <w:rPr>
          <w:rFonts w:ascii="Century Gothic" w:hAnsi="Century Gothic"/>
          <w:sz w:val="20"/>
          <w:szCs w:val="20"/>
        </w:rPr>
        <w:t>The ‘</w:t>
      </w:r>
      <w:r w:rsidRPr="001651F3">
        <w:rPr>
          <w:rFonts w:ascii="Century Gothic" w:hAnsi="Century Gothic"/>
          <w:i/>
          <w:iCs/>
          <w:sz w:val="20"/>
          <w:szCs w:val="20"/>
        </w:rPr>
        <w:t>Rivers, the veins of our Country’</w:t>
      </w:r>
      <w:r>
        <w:rPr>
          <w:rFonts w:ascii="Century Gothic" w:hAnsi="Century Gothic"/>
          <w:sz w:val="20"/>
          <w:szCs w:val="20"/>
        </w:rPr>
        <w:t xml:space="preserve"> report says:</w:t>
      </w:r>
    </w:p>
    <w:p w14:paraId="72A41511" w14:textId="77777777" w:rsidR="009D61DE" w:rsidRDefault="009D61DE" w:rsidP="009D61DE">
      <w:pPr>
        <w:rPr>
          <w:rFonts w:ascii="Century Gothic" w:hAnsi="Century Gothic"/>
          <w:i/>
          <w:iCs/>
          <w:sz w:val="20"/>
          <w:szCs w:val="20"/>
        </w:rPr>
      </w:pPr>
      <w:r w:rsidRPr="00BC5174">
        <w:rPr>
          <w:rFonts w:ascii="Century Gothic" w:hAnsi="Century Gothic"/>
          <w:i/>
          <w:iCs/>
          <w:sz w:val="20"/>
          <w:szCs w:val="20"/>
        </w:rPr>
        <w:t>“Across all jurisdictions there are current examples of First Nations people influencing or participating in all stages of environmental water management, which would not have been the case ten or even five years ago.”</w:t>
      </w:r>
      <w:r w:rsidRPr="00BC5174">
        <w:rPr>
          <w:rStyle w:val="FootnoteReference"/>
          <w:rFonts w:ascii="Century Gothic" w:hAnsi="Century Gothic"/>
          <w:i/>
          <w:iCs/>
          <w:sz w:val="20"/>
          <w:szCs w:val="20"/>
        </w:rPr>
        <w:footnoteReference w:id="10"/>
      </w:r>
    </w:p>
    <w:p w14:paraId="1BC930D4" w14:textId="77777777" w:rsidR="009D61DE" w:rsidRDefault="009D61DE" w:rsidP="009D61DE">
      <w:pPr>
        <w:rPr>
          <w:rFonts w:ascii="Century Gothic" w:hAnsi="Century Gothic"/>
          <w:sz w:val="20"/>
          <w:szCs w:val="20"/>
        </w:rPr>
      </w:pPr>
      <w:r>
        <w:rPr>
          <w:rFonts w:ascii="Century Gothic" w:hAnsi="Century Gothic"/>
          <w:sz w:val="20"/>
          <w:szCs w:val="20"/>
        </w:rPr>
        <w:t xml:space="preserve">It will be important to share these positive successes as part of this review, as well as lessons learnt. </w:t>
      </w:r>
    </w:p>
    <w:p w14:paraId="1062EE0A" w14:textId="77777777" w:rsidR="009D61DE" w:rsidRDefault="009D61DE" w:rsidP="009D61DE">
      <w:pPr>
        <w:rPr>
          <w:rFonts w:ascii="Century Gothic" w:hAnsi="Century Gothic"/>
          <w:sz w:val="20"/>
          <w:szCs w:val="20"/>
        </w:rPr>
      </w:pPr>
      <w:r w:rsidRPr="00D91812">
        <w:rPr>
          <w:rFonts w:ascii="Century Gothic" w:hAnsi="Century Gothic"/>
          <w:b/>
          <w:bCs/>
          <w:sz w:val="20"/>
          <w:szCs w:val="20"/>
        </w:rPr>
        <w:t>NIC recommend</w:t>
      </w:r>
      <w:r w:rsidRPr="00751099">
        <w:rPr>
          <w:rFonts w:ascii="Century Gothic" w:hAnsi="Century Gothic"/>
          <w:sz w:val="20"/>
          <w:szCs w:val="20"/>
        </w:rPr>
        <w:t xml:space="preserve"> that</w:t>
      </w:r>
      <w:r>
        <w:rPr>
          <w:rFonts w:ascii="Century Gothic" w:hAnsi="Century Gothic"/>
          <w:sz w:val="20"/>
          <w:szCs w:val="20"/>
        </w:rPr>
        <w:t>:</w:t>
      </w:r>
    </w:p>
    <w:p w14:paraId="07768C69" w14:textId="06C13BB5" w:rsidR="00E4541C" w:rsidRPr="00BC6CE4" w:rsidRDefault="009D61DE" w:rsidP="00E4541C">
      <w:pPr>
        <w:pStyle w:val="ListParagraph"/>
        <w:numPr>
          <w:ilvl w:val="0"/>
          <w:numId w:val="49"/>
        </w:numPr>
        <w:rPr>
          <w:rFonts w:ascii="Century Gothic" w:hAnsi="Century Gothic"/>
          <w:sz w:val="20"/>
          <w:szCs w:val="20"/>
        </w:rPr>
      </w:pPr>
      <w:r w:rsidRPr="00971A2B">
        <w:rPr>
          <w:rFonts w:ascii="Century Gothic" w:hAnsi="Century Gothic"/>
          <w:sz w:val="20"/>
          <w:szCs w:val="20"/>
        </w:rPr>
        <w:t>Public consultation materials</w:t>
      </w:r>
      <w:r>
        <w:rPr>
          <w:rFonts w:ascii="Century Gothic" w:hAnsi="Century Gothic"/>
          <w:sz w:val="20"/>
          <w:szCs w:val="20"/>
        </w:rPr>
        <w:t xml:space="preserve"> also show the positive successes, including effective partnerships programs. </w:t>
      </w:r>
    </w:p>
    <w:p w14:paraId="12DBAE03" w14:textId="051D0B32" w:rsidR="00F0268A" w:rsidRPr="00F0268A" w:rsidRDefault="00E4541C" w:rsidP="00F0268A">
      <w:pPr>
        <w:pStyle w:val="Heading2"/>
        <w:rPr>
          <w:rFonts w:ascii="Century Gothic" w:hAnsi="Century Gothic"/>
          <w:sz w:val="28"/>
          <w:szCs w:val="28"/>
        </w:rPr>
      </w:pPr>
      <w:bookmarkStart w:id="21" w:name="_Toc233372738"/>
      <w:r w:rsidRPr="00751099">
        <w:rPr>
          <w:rFonts w:ascii="Century Gothic" w:hAnsi="Century Gothic"/>
          <w:sz w:val="28"/>
          <w:szCs w:val="28"/>
        </w:rPr>
        <w:lastRenderedPageBreak/>
        <w:t>Entitlements</w:t>
      </w:r>
      <w:bookmarkEnd w:id="21"/>
    </w:p>
    <w:p w14:paraId="31F7532B" w14:textId="77777777" w:rsidR="00F0268A" w:rsidRPr="000D5DE9" w:rsidRDefault="00F0268A" w:rsidP="0013475D">
      <w:pPr>
        <w:pStyle w:val="Heading3"/>
      </w:pPr>
      <w:bookmarkStart w:id="22" w:name="_Toc233372739"/>
      <w:r w:rsidRPr="000C0DB9">
        <w:t>Clarifying the baseline</w:t>
      </w:r>
      <w:bookmarkEnd w:id="22"/>
    </w:p>
    <w:p w14:paraId="783E68DE" w14:textId="60AE8AE6" w:rsidR="00F0268A" w:rsidRDefault="00F0268A" w:rsidP="00F0268A">
      <w:pPr>
        <w:rPr>
          <w:rFonts w:ascii="Century Gothic" w:hAnsi="Century Gothic"/>
          <w:sz w:val="20"/>
          <w:szCs w:val="20"/>
        </w:rPr>
      </w:pPr>
      <w:r w:rsidRPr="000D5DE9">
        <w:rPr>
          <w:rFonts w:ascii="Century Gothic" w:hAnsi="Century Gothic"/>
          <w:sz w:val="20"/>
          <w:szCs w:val="20"/>
        </w:rPr>
        <w:t xml:space="preserve">There is a figure </w:t>
      </w:r>
      <w:r w:rsidR="00370898">
        <w:rPr>
          <w:rFonts w:ascii="Century Gothic" w:hAnsi="Century Gothic"/>
          <w:sz w:val="20"/>
          <w:szCs w:val="20"/>
        </w:rPr>
        <w:t xml:space="preserve">claimed </w:t>
      </w:r>
      <w:r w:rsidRPr="000D5DE9">
        <w:rPr>
          <w:rFonts w:ascii="Century Gothic" w:hAnsi="Century Gothic"/>
          <w:sz w:val="20"/>
          <w:szCs w:val="20"/>
        </w:rPr>
        <w:t>of 0.2% of water entitlements are owned by First Nations. This is queried</w:t>
      </w:r>
      <w:r>
        <w:rPr>
          <w:rFonts w:ascii="Century Gothic" w:hAnsi="Century Gothic"/>
          <w:sz w:val="20"/>
          <w:szCs w:val="20"/>
        </w:rPr>
        <w:t>.</w:t>
      </w:r>
      <w:r w:rsidRPr="000D5DE9">
        <w:rPr>
          <w:rFonts w:ascii="Century Gothic" w:hAnsi="Century Gothic"/>
          <w:sz w:val="20"/>
          <w:szCs w:val="20"/>
        </w:rPr>
        <w:t xml:space="preserve"> </w:t>
      </w:r>
    </w:p>
    <w:p w14:paraId="0D49FB19" w14:textId="654C2FB5" w:rsidR="00F0268A" w:rsidRDefault="00F0268A" w:rsidP="00F0268A">
      <w:pPr>
        <w:rPr>
          <w:rFonts w:ascii="Century Gothic" w:hAnsi="Century Gothic"/>
          <w:sz w:val="20"/>
          <w:szCs w:val="20"/>
        </w:rPr>
      </w:pPr>
      <w:r>
        <w:rPr>
          <w:rFonts w:ascii="Century Gothic" w:hAnsi="Century Gothic"/>
          <w:sz w:val="20"/>
          <w:szCs w:val="20"/>
        </w:rPr>
        <w:t>Further work is required to validate that statistic before heavily relying upon it. For example, methodological concerns (as largely acknowledged by the authors</w:t>
      </w:r>
      <w:r w:rsidR="000B1FAC">
        <w:rPr>
          <w:rFonts w:ascii="Century Gothic" w:hAnsi="Century Gothic"/>
          <w:sz w:val="20"/>
          <w:szCs w:val="20"/>
        </w:rPr>
        <w:t xml:space="preserve"> of the statistic</w:t>
      </w:r>
      <w:r>
        <w:rPr>
          <w:rFonts w:ascii="Century Gothic" w:hAnsi="Century Gothic"/>
          <w:sz w:val="20"/>
          <w:szCs w:val="20"/>
        </w:rPr>
        <w:t>) include:</w:t>
      </w:r>
    </w:p>
    <w:p w14:paraId="6A3297AA" w14:textId="77777777" w:rsidR="00F0268A" w:rsidRPr="005544E7" w:rsidRDefault="00F0268A" w:rsidP="00F0268A">
      <w:pPr>
        <w:pStyle w:val="ListParagraph"/>
        <w:numPr>
          <w:ilvl w:val="0"/>
          <w:numId w:val="41"/>
        </w:numPr>
        <w:rPr>
          <w:rFonts w:ascii="Century Gothic" w:hAnsi="Century Gothic"/>
          <w:sz w:val="20"/>
          <w:szCs w:val="20"/>
        </w:rPr>
      </w:pPr>
      <w:r>
        <w:rPr>
          <w:rFonts w:ascii="Century Gothic" w:hAnsi="Century Gothic"/>
          <w:sz w:val="20"/>
          <w:szCs w:val="20"/>
        </w:rPr>
        <w:t>T</w:t>
      </w:r>
      <w:r w:rsidRPr="003768D0">
        <w:rPr>
          <w:rFonts w:ascii="Century Gothic" w:hAnsi="Century Gothic"/>
          <w:sz w:val="20"/>
          <w:szCs w:val="20"/>
        </w:rPr>
        <w:t>his statistic is “</w:t>
      </w:r>
      <w:r w:rsidRPr="003768D0">
        <w:rPr>
          <w:rFonts w:ascii="Century Gothic" w:hAnsi="Century Gothic"/>
          <w:i/>
          <w:iCs/>
          <w:sz w:val="20"/>
          <w:szCs w:val="20"/>
        </w:rPr>
        <w:t>focused on water held by Indigenous organisations and entities, referred to here as ‘Indigenous holdings’ because data on the water holdings of individuals identifying as Indigenous is not readily available</w:t>
      </w:r>
      <w:r w:rsidRPr="003768D0">
        <w:rPr>
          <w:rFonts w:ascii="Century Gothic" w:hAnsi="Century Gothic"/>
          <w:sz w:val="20"/>
          <w:szCs w:val="20"/>
        </w:rPr>
        <w:t xml:space="preserve">”. </w:t>
      </w:r>
      <w:r>
        <w:rPr>
          <w:rFonts w:ascii="Century Gothic" w:hAnsi="Century Gothic"/>
          <w:sz w:val="20"/>
          <w:szCs w:val="20"/>
        </w:rPr>
        <w:t xml:space="preserve">Put simply, this </w:t>
      </w:r>
      <w:r w:rsidRPr="00F4323A">
        <w:rPr>
          <w:rFonts w:ascii="Century Gothic" w:hAnsi="Century Gothic"/>
          <w:sz w:val="20"/>
          <w:szCs w:val="20"/>
          <w:u w:val="single"/>
        </w:rPr>
        <w:t>does not include water held by people who identify as Indigenous</w:t>
      </w:r>
      <w:r w:rsidRPr="005544E7">
        <w:rPr>
          <w:rFonts w:ascii="Century Gothic" w:hAnsi="Century Gothic"/>
          <w:sz w:val="20"/>
          <w:szCs w:val="20"/>
        </w:rPr>
        <w:t xml:space="preserve"> – as most states do not collect information on if the owner identifies as Aboriginal or not.</w:t>
      </w:r>
    </w:p>
    <w:p w14:paraId="31F14DB1" w14:textId="77777777" w:rsidR="00F0268A" w:rsidRDefault="00F0268A" w:rsidP="00F0268A">
      <w:pPr>
        <w:pStyle w:val="ListParagraph"/>
        <w:numPr>
          <w:ilvl w:val="0"/>
          <w:numId w:val="41"/>
        </w:numPr>
        <w:rPr>
          <w:rFonts w:ascii="Century Gothic" w:hAnsi="Century Gothic"/>
          <w:sz w:val="20"/>
          <w:szCs w:val="20"/>
        </w:rPr>
      </w:pPr>
      <w:r>
        <w:rPr>
          <w:rFonts w:ascii="Century Gothic" w:hAnsi="Century Gothic"/>
          <w:sz w:val="20"/>
          <w:szCs w:val="20"/>
        </w:rPr>
        <w:t>The statistic: “</w:t>
      </w:r>
      <w:r w:rsidRPr="007A6024">
        <w:rPr>
          <w:rFonts w:ascii="Century Gothic" w:hAnsi="Century Gothic"/>
          <w:i/>
          <w:iCs/>
          <w:sz w:val="20"/>
          <w:szCs w:val="20"/>
        </w:rPr>
        <w:t>focused only on water entitlements, which are issued by State and Territory Governments and grant holders’ permission to take, extract and use water from a specified surface water source (e.g. rivers and creeks) or groundwater source (e.g. aquifers). We did not consider other statutory rights to access water that do not require an entitlement, including water use rights associated with land occupation such as stock and domestic basic rights and native title rights</w:t>
      </w:r>
      <w:r>
        <w:rPr>
          <w:rFonts w:ascii="Century Gothic" w:hAnsi="Century Gothic"/>
          <w:sz w:val="20"/>
          <w:szCs w:val="20"/>
        </w:rPr>
        <w:t xml:space="preserve">”. Put simply, this </w:t>
      </w:r>
      <w:r w:rsidRPr="00F4323A">
        <w:rPr>
          <w:rFonts w:ascii="Century Gothic" w:hAnsi="Century Gothic"/>
          <w:sz w:val="20"/>
          <w:szCs w:val="20"/>
          <w:u w:val="single"/>
        </w:rPr>
        <w:t>does not include major forms of water rights for First Nations, such as Native Title Rights</w:t>
      </w:r>
      <w:r>
        <w:rPr>
          <w:rFonts w:ascii="Century Gothic" w:hAnsi="Century Gothic"/>
          <w:sz w:val="20"/>
          <w:szCs w:val="20"/>
        </w:rPr>
        <w:t>.</w:t>
      </w:r>
    </w:p>
    <w:p w14:paraId="113E5F96" w14:textId="77777777" w:rsidR="00F0268A" w:rsidRDefault="00F0268A" w:rsidP="00F0268A">
      <w:pPr>
        <w:pStyle w:val="ListParagraph"/>
        <w:numPr>
          <w:ilvl w:val="0"/>
          <w:numId w:val="41"/>
        </w:numPr>
        <w:rPr>
          <w:rFonts w:ascii="Century Gothic" w:hAnsi="Century Gothic"/>
          <w:sz w:val="20"/>
          <w:szCs w:val="20"/>
        </w:rPr>
      </w:pPr>
      <w:r>
        <w:rPr>
          <w:rFonts w:ascii="Century Gothic" w:hAnsi="Century Gothic"/>
          <w:sz w:val="20"/>
          <w:szCs w:val="20"/>
        </w:rPr>
        <w:t xml:space="preserve">Does not include water that is managed for multiple purposes, such as </w:t>
      </w:r>
      <w:r w:rsidRPr="00F4323A">
        <w:rPr>
          <w:rFonts w:ascii="Century Gothic" w:hAnsi="Century Gothic"/>
          <w:sz w:val="20"/>
          <w:szCs w:val="20"/>
          <w:u w:val="single"/>
        </w:rPr>
        <w:t>entitlements owned by the CEWH</w:t>
      </w:r>
      <w:r>
        <w:rPr>
          <w:rFonts w:ascii="Century Gothic" w:hAnsi="Century Gothic"/>
          <w:sz w:val="20"/>
          <w:szCs w:val="20"/>
        </w:rPr>
        <w:t xml:space="preserve"> or state environmental water holders and used to serve multiple objectives including cultural objectives identified in Long Term Water Plans. </w:t>
      </w:r>
    </w:p>
    <w:p w14:paraId="20E5C0A1" w14:textId="28317A9A" w:rsidR="00F0268A" w:rsidRDefault="00F0268A" w:rsidP="00F0268A">
      <w:pPr>
        <w:pStyle w:val="ListParagraph"/>
        <w:numPr>
          <w:ilvl w:val="0"/>
          <w:numId w:val="41"/>
        </w:numPr>
        <w:rPr>
          <w:rFonts w:ascii="Century Gothic" w:hAnsi="Century Gothic"/>
          <w:sz w:val="20"/>
          <w:szCs w:val="20"/>
        </w:rPr>
      </w:pPr>
      <w:r>
        <w:rPr>
          <w:rFonts w:ascii="Century Gothic" w:hAnsi="Century Gothic"/>
          <w:sz w:val="20"/>
          <w:szCs w:val="20"/>
        </w:rPr>
        <w:t xml:space="preserve">Does not include the broader management of the resource, including in the use and management of </w:t>
      </w:r>
      <w:r w:rsidRPr="00F4323A">
        <w:rPr>
          <w:rFonts w:ascii="Century Gothic" w:hAnsi="Century Gothic"/>
          <w:sz w:val="20"/>
          <w:szCs w:val="20"/>
          <w:u w:val="single"/>
        </w:rPr>
        <w:t>Planned Environmental Water</w:t>
      </w:r>
      <w:r>
        <w:rPr>
          <w:rFonts w:ascii="Century Gothic" w:hAnsi="Century Gothic"/>
          <w:sz w:val="20"/>
          <w:szCs w:val="20"/>
        </w:rPr>
        <w:t xml:space="preserve"> (PEW) which (name aside) is the large volume of water</w:t>
      </w:r>
      <w:r w:rsidR="00064404">
        <w:rPr>
          <w:rFonts w:ascii="Century Gothic" w:hAnsi="Century Gothic"/>
          <w:sz w:val="20"/>
          <w:szCs w:val="20"/>
        </w:rPr>
        <w:t xml:space="preserve"> above extraction limits</w:t>
      </w:r>
      <w:r>
        <w:rPr>
          <w:rFonts w:ascii="Century Gothic" w:hAnsi="Century Gothic"/>
          <w:sz w:val="20"/>
          <w:szCs w:val="20"/>
        </w:rPr>
        <w:t xml:space="preserve"> </w:t>
      </w:r>
      <w:r w:rsidR="00064404">
        <w:rPr>
          <w:rFonts w:ascii="Century Gothic" w:hAnsi="Century Gothic"/>
          <w:sz w:val="20"/>
          <w:szCs w:val="20"/>
        </w:rPr>
        <w:t xml:space="preserve">(i.e. </w:t>
      </w:r>
      <w:r>
        <w:rPr>
          <w:rFonts w:ascii="Century Gothic" w:hAnsi="Century Gothic"/>
          <w:sz w:val="20"/>
          <w:szCs w:val="20"/>
        </w:rPr>
        <w:t>not on a water entitlement</w:t>
      </w:r>
      <w:r w:rsidR="00064404">
        <w:rPr>
          <w:rFonts w:ascii="Century Gothic" w:hAnsi="Century Gothic"/>
          <w:sz w:val="20"/>
          <w:szCs w:val="20"/>
        </w:rPr>
        <w:t>)</w:t>
      </w:r>
      <w:r>
        <w:rPr>
          <w:rFonts w:ascii="Century Gothic" w:hAnsi="Century Gothic"/>
          <w:sz w:val="20"/>
          <w:szCs w:val="20"/>
        </w:rPr>
        <w:t xml:space="preserve"> that is managed for various uses as identified in each Water Sharing Plan, which includes cultural objectives. </w:t>
      </w:r>
    </w:p>
    <w:p w14:paraId="519FA69B" w14:textId="6D5826F9" w:rsidR="003A1CC2" w:rsidRPr="003768D0" w:rsidRDefault="003A1CC2" w:rsidP="00F0268A">
      <w:pPr>
        <w:pStyle w:val="ListParagraph"/>
        <w:numPr>
          <w:ilvl w:val="0"/>
          <w:numId w:val="41"/>
        </w:numPr>
        <w:rPr>
          <w:rFonts w:ascii="Century Gothic" w:hAnsi="Century Gothic"/>
          <w:sz w:val="20"/>
          <w:szCs w:val="20"/>
        </w:rPr>
      </w:pPr>
      <w:r>
        <w:rPr>
          <w:rFonts w:ascii="Century Gothic" w:hAnsi="Century Gothic"/>
          <w:sz w:val="20"/>
          <w:szCs w:val="20"/>
        </w:rPr>
        <w:t xml:space="preserve">Does not include </w:t>
      </w:r>
      <w:r w:rsidRPr="00F4323A">
        <w:rPr>
          <w:rFonts w:ascii="Century Gothic" w:hAnsi="Century Gothic"/>
          <w:sz w:val="20"/>
          <w:szCs w:val="20"/>
          <w:u w:val="single"/>
        </w:rPr>
        <w:t>temporary trading</w:t>
      </w:r>
      <w:r>
        <w:rPr>
          <w:rFonts w:ascii="Century Gothic" w:hAnsi="Century Gothic"/>
          <w:sz w:val="20"/>
          <w:szCs w:val="20"/>
        </w:rPr>
        <w:t xml:space="preserve"> of water</w:t>
      </w:r>
      <w:r w:rsidR="005D2E98">
        <w:rPr>
          <w:rFonts w:ascii="Century Gothic" w:hAnsi="Century Gothic"/>
          <w:sz w:val="20"/>
          <w:szCs w:val="20"/>
        </w:rPr>
        <w:t xml:space="preserve">. </w:t>
      </w:r>
    </w:p>
    <w:p w14:paraId="1CC64ED8" w14:textId="026357FD" w:rsidR="001312E1" w:rsidRPr="002F7930" w:rsidRDefault="001312E1" w:rsidP="00F0268A">
      <w:pPr>
        <w:rPr>
          <w:rFonts w:ascii="Century Gothic" w:hAnsi="Century Gothic"/>
          <w:sz w:val="20"/>
          <w:szCs w:val="20"/>
        </w:rPr>
      </w:pPr>
      <w:r>
        <w:rPr>
          <w:rFonts w:ascii="Century Gothic" w:hAnsi="Century Gothic"/>
          <w:sz w:val="20"/>
          <w:szCs w:val="20"/>
        </w:rPr>
        <w:t xml:space="preserve">NIC is concerned that DCCEEW is making statements on their website, such as: </w:t>
      </w:r>
      <w:r w:rsidRPr="002F7930">
        <w:rPr>
          <w:rFonts w:ascii="Century Gothic" w:hAnsi="Century Gothic"/>
          <w:i/>
          <w:iCs/>
          <w:sz w:val="20"/>
          <w:szCs w:val="20"/>
        </w:rPr>
        <w:t>“</w:t>
      </w:r>
      <w:r w:rsidR="002F7930" w:rsidRPr="002F7930">
        <w:rPr>
          <w:rFonts w:ascii="Century Gothic" w:hAnsi="Century Gothic"/>
          <w:i/>
          <w:iCs/>
          <w:sz w:val="20"/>
          <w:szCs w:val="20"/>
        </w:rPr>
        <w:t>First Nations People hold rights to about 40% of Australian land through native title. Yet, First Nations Peoples own less than 0.2 percent of surface water entitlements”</w:t>
      </w:r>
      <w:r w:rsidR="00E87142">
        <w:rPr>
          <w:rStyle w:val="FootnoteReference"/>
          <w:rFonts w:ascii="Century Gothic" w:hAnsi="Century Gothic"/>
          <w:i/>
          <w:iCs/>
          <w:sz w:val="20"/>
          <w:szCs w:val="20"/>
        </w:rPr>
        <w:footnoteReference w:id="11"/>
      </w:r>
      <w:r w:rsidR="002F7930">
        <w:rPr>
          <w:rFonts w:ascii="Century Gothic" w:hAnsi="Century Gothic"/>
          <w:sz w:val="20"/>
          <w:szCs w:val="20"/>
        </w:rPr>
        <w:t xml:space="preserve"> when the authors specifically</w:t>
      </w:r>
      <w:r w:rsidR="00E87142">
        <w:rPr>
          <w:rFonts w:ascii="Century Gothic" w:hAnsi="Century Gothic"/>
          <w:sz w:val="20"/>
          <w:szCs w:val="20"/>
        </w:rPr>
        <w:t xml:space="preserve"> point out that they exclude Native Title from their methodology</w:t>
      </w:r>
      <w:r w:rsidR="003526C9">
        <w:rPr>
          <w:rFonts w:ascii="Century Gothic" w:hAnsi="Century Gothic"/>
          <w:sz w:val="20"/>
          <w:szCs w:val="20"/>
        </w:rPr>
        <w:t>, so this is not a comprehensive, nor equal, comparison</w:t>
      </w:r>
      <w:r w:rsidR="00E87142">
        <w:rPr>
          <w:rFonts w:ascii="Century Gothic" w:hAnsi="Century Gothic"/>
          <w:sz w:val="20"/>
          <w:szCs w:val="20"/>
        </w:rPr>
        <w:t xml:space="preserve">. </w:t>
      </w:r>
      <w:r w:rsidR="00780577">
        <w:rPr>
          <w:rFonts w:ascii="Century Gothic" w:hAnsi="Century Gothic"/>
          <w:sz w:val="20"/>
          <w:szCs w:val="20"/>
        </w:rPr>
        <w:t>We are concerned t</w:t>
      </w:r>
      <w:r w:rsidR="001C6B15">
        <w:rPr>
          <w:rFonts w:ascii="Century Gothic" w:hAnsi="Century Gothic"/>
          <w:sz w:val="20"/>
          <w:szCs w:val="20"/>
        </w:rPr>
        <w:t xml:space="preserve">hat this has created a misleading, and skewed focus, more reflective of a political agenda - and removed from many of the cultural objectives being sought by First Nations people. </w:t>
      </w:r>
    </w:p>
    <w:p w14:paraId="448F69F9" w14:textId="2AEF77DF" w:rsidR="00F0268A" w:rsidRDefault="00E87142" w:rsidP="00E4541C">
      <w:pPr>
        <w:rPr>
          <w:rFonts w:ascii="Century Gothic" w:hAnsi="Century Gothic"/>
          <w:sz w:val="20"/>
          <w:szCs w:val="20"/>
        </w:rPr>
      </w:pPr>
      <w:r>
        <w:rPr>
          <w:rFonts w:ascii="Century Gothic" w:hAnsi="Century Gothic"/>
          <w:sz w:val="20"/>
          <w:szCs w:val="20"/>
        </w:rPr>
        <w:t>This aside, i</w:t>
      </w:r>
      <w:r w:rsidR="00370898">
        <w:rPr>
          <w:rFonts w:ascii="Century Gothic" w:hAnsi="Century Gothic"/>
          <w:sz w:val="20"/>
          <w:szCs w:val="20"/>
        </w:rPr>
        <w:t xml:space="preserve">t is cautioned to focus too heavily on water entitlement ownership, as that siloed approach is unlikely to serve the broader </w:t>
      </w:r>
      <w:r w:rsidR="00DA3815">
        <w:rPr>
          <w:rFonts w:ascii="Century Gothic" w:hAnsi="Century Gothic"/>
          <w:sz w:val="20"/>
          <w:szCs w:val="20"/>
        </w:rPr>
        <w:t xml:space="preserve">and diverse </w:t>
      </w:r>
      <w:r w:rsidR="00370898">
        <w:rPr>
          <w:rFonts w:ascii="Century Gothic" w:hAnsi="Century Gothic"/>
          <w:sz w:val="20"/>
          <w:szCs w:val="20"/>
        </w:rPr>
        <w:t xml:space="preserve">outcomes being sought by First Nations people. </w:t>
      </w:r>
      <w:r w:rsidR="00F20B01">
        <w:rPr>
          <w:rFonts w:ascii="Century Gothic" w:hAnsi="Century Gothic"/>
          <w:sz w:val="20"/>
          <w:szCs w:val="20"/>
        </w:rPr>
        <w:t xml:space="preserve">Is the ‘ownership’ of a water entitlement the necessary or most appropriate vehicle to </w:t>
      </w:r>
      <w:r w:rsidR="00251D74">
        <w:rPr>
          <w:rFonts w:ascii="Century Gothic" w:hAnsi="Century Gothic"/>
          <w:sz w:val="20"/>
          <w:szCs w:val="20"/>
        </w:rPr>
        <w:t xml:space="preserve">achieve the desired objectives? </w:t>
      </w:r>
    </w:p>
    <w:p w14:paraId="349AE767" w14:textId="2EAF8C5E" w:rsidR="0012575B" w:rsidRDefault="00E4541C" w:rsidP="00E4541C">
      <w:pPr>
        <w:rPr>
          <w:rFonts w:ascii="Century Gothic" w:hAnsi="Century Gothic"/>
          <w:sz w:val="20"/>
          <w:szCs w:val="20"/>
        </w:rPr>
      </w:pPr>
      <w:r w:rsidRPr="00751099">
        <w:rPr>
          <w:rFonts w:ascii="Century Gothic" w:hAnsi="Century Gothic"/>
          <w:sz w:val="20"/>
          <w:szCs w:val="20"/>
        </w:rPr>
        <w:t xml:space="preserve">NIC is concerned that there is </w:t>
      </w:r>
      <w:r w:rsidR="00751099">
        <w:rPr>
          <w:rFonts w:ascii="Century Gothic" w:hAnsi="Century Gothic"/>
          <w:sz w:val="20"/>
          <w:szCs w:val="20"/>
        </w:rPr>
        <w:t>a</w:t>
      </w:r>
      <w:r w:rsidRPr="00751099">
        <w:rPr>
          <w:rFonts w:ascii="Century Gothic" w:hAnsi="Century Gothic"/>
          <w:sz w:val="20"/>
          <w:szCs w:val="20"/>
        </w:rPr>
        <w:t xml:space="preserve"> narrow focus on only water access entitlements. </w:t>
      </w:r>
      <w:r w:rsidR="00D178AA" w:rsidRPr="00751099">
        <w:rPr>
          <w:rFonts w:ascii="Century Gothic" w:hAnsi="Century Gothic"/>
          <w:sz w:val="20"/>
          <w:szCs w:val="20"/>
        </w:rPr>
        <w:t>We are concerned that this singular lever will not lead to the realisation of broader cultural objectives</w:t>
      </w:r>
      <w:r w:rsidR="006E43F0" w:rsidRPr="00751099">
        <w:rPr>
          <w:rFonts w:ascii="Century Gothic" w:hAnsi="Century Gothic"/>
          <w:sz w:val="20"/>
          <w:szCs w:val="20"/>
        </w:rPr>
        <w:t xml:space="preserve"> sought</w:t>
      </w:r>
      <w:r w:rsidR="00D178AA" w:rsidRPr="00751099">
        <w:rPr>
          <w:rFonts w:ascii="Century Gothic" w:hAnsi="Century Gothic"/>
          <w:sz w:val="20"/>
          <w:szCs w:val="20"/>
        </w:rPr>
        <w:t>, and in turn, creates</w:t>
      </w:r>
      <w:r w:rsidR="006E43F0" w:rsidRPr="00751099">
        <w:rPr>
          <w:rFonts w:ascii="Century Gothic" w:hAnsi="Century Gothic"/>
          <w:sz w:val="20"/>
          <w:szCs w:val="20"/>
        </w:rPr>
        <w:t xml:space="preserve"> </w:t>
      </w:r>
      <w:r w:rsidR="00F4323A">
        <w:rPr>
          <w:rFonts w:ascii="Century Gothic" w:hAnsi="Century Gothic"/>
          <w:sz w:val="20"/>
          <w:szCs w:val="20"/>
        </w:rPr>
        <w:t>further barriers.</w:t>
      </w:r>
    </w:p>
    <w:p w14:paraId="51E16011" w14:textId="77777777" w:rsidR="005C3C56" w:rsidRDefault="005C3C56" w:rsidP="005C3C56">
      <w:pPr>
        <w:rPr>
          <w:rFonts w:ascii="Century Gothic" w:hAnsi="Century Gothic"/>
          <w:sz w:val="20"/>
          <w:szCs w:val="20"/>
        </w:rPr>
      </w:pPr>
      <w:r w:rsidRPr="00D91812">
        <w:rPr>
          <w:rFonts w:ascii="Century Gothic" w:hAnsi="Century Gothic"/>
          <w:b/>
          <w:bCs/>
          <w:sz w:val="20"/>
          <w:szCs w:val="20"/>
        </w:rPr>
        <w:t>NIC recommend</w:t>
      </w:r>
      <w:r w:rsidRPr="00751099">
        <w:rPr>
          <w:rFonts w:ascii="Century Gothic" w:hAnsi="Century Gothic"/>
          <w:sz w:val="20"/>
          <w:szCs w:val="20"/>
        </w:rPr>
        <w:t xml:space="preserve"> that</w:t>
      </w:r>
      <w:r>
        <w:rPr>
          <w:rFonts w:ascii="Century Gothic" w:hAnsi="Century Gothic"/>
          <w:sz w:val="20"/>
          <w:szCs w:val="20"/>
        </w:rPr>
        <w:t>:</w:t>
      </w:r>
    </w:p>
    <w:p w14:paraId="2F90678D" w14:textId="65EECDA4" w:rsidR="005C3C56" w:rsidRDefault="005C3C56" w:rsidP="005C3C56">
      <w:pPr>
        <w:pStyle w:val="ListParagraph"/>
        <w:numPr>
          <w:ilvl w:val="0"/>
          <w:numId w:val="48"/>
        </w:numPr>
        <w:rPr>
          <w:rFonts w:ascii="Century Gothic" w:hAnsi="Century Gothic"/>
          <w:sz w:val="20"/>
          <w:szCs w:val="20"/>
        </w:rPr>
      </w:pPr>
      <w:r w:rsidRPr="005C3C56">
        <w:rPr>
          <w:rFonts w:ascii="Century Gothic" w:hAnsi="Century Gothic"/>
          <w:sz w:val="20"/>
          <w:szCs w:val="20"/>
        </w:rPr>
        <w:lastRenderedPageBreak/>
        <w:t>The revie</w:t>
      </w:r>
      <w:r>
        <w:rPr>
          <w:rFonts w:ascii="Century Gothic" w:hAnsi="Century Gothic"/>
          <w:sz w:val="20"/>
          <w:szCs w:val="20"/>
        </w:rPr>
        <w:t xml:space="preserve">w critically analyses whether the proportion of water entitlement ownership by First Nations is </w:t>
      </w:r>
      <w:r w:rsidR="00384902">
        <w:rPr>
          <w:rFonts w:ascii="Century Gothic" w:hAnsi="Century Gothic"/>
          <w:sz w:val="20"/>
          <w:szCs w:val="20"/>
        </w:rPr>
        <w:t>the right indicator to focus on</w:t>
      </w:r>
      <w:r w:rsidR="00E817C6">
        <w:rPr>
          <w:rFonts w:ascii="Century Gothic" w:hAnsi="Century Gothic"/>
          <w:sz w:val="20"/>
          <w:szCs w:val="20"/>
        </w:rPr>
        <w:t xml:space="preserve">, or what other indicators may better reflect the outcomes being sought by First Nations peoples. </w:t>
      </w:r>
    </w:p>
    <w:p w14:paraId="3F603073" w14:textId="6B05AE98" w:rsidR="00F65B63" w:rsidRPr="005C3C56" w:rsidRDefault="00F65B63" w:rsidP="005C3C56">
      <w:pPr>
        <w:pStyle w:val="ListParagraph"/>
        <w:numPr>
          <w:ilvl w:val="0"/>
          <w:numId w:val="48"/>
        </w:numPr>
        <w:rPr>
          <w:rFonts w:ascii="Century Gothic" w:hAnsi="Century Gothic"/>
          <w:sz w:val="20"/>
          <w:szCs w:val="20"/>
        </w:rPr>
      </w:pPr>
      <w:r w:rsidRPr="005C3C56">
        <w:rPr>
          <w:rFonts w:ascii="Century Gothic" w:hAnsi="Century Gothic"/>
          <w:sz w:val="20"/>
          <w:szCs w:val="20"/>
        </w:rPr>
        <w:t>The revie</w:t>
      </w:r>
      <w:r>
        <w:rPr>
          <w:rFonts w:ascii="Century Gothic" w:hAnsi="Century Gothic"/>
          <w:sz w:val="20"/>
          <w:szCs w:val="20"/>
        </w:rPr>
        <w:t xml:space="preserve">w undertakes fact-checking on the statistics being published by DCCEEW as part of the review – or at least - provides crucial methodological context. </w:t>
      </w:r>
    </w:p>
    <w:p w14:paraId="7F2D5CD0" w14:textId="77777777" w:rsidR="000C0DB9" w:rsidRPr="000C0DB9" w:rsidRDefault="000C0DB9" w:rsidP="00DF2812">
      <w:pPr>
        <w:pStyle w:val="Heading3"/>
      </w:pPr>
      <w:bookmarkStart w:id="23" w:name="_Toc233372740"/>
      <w:r w:rsidRPr="000C0DB9">
        <w:t>Aboriginal Water Entitlements Program</w:t>
      </w:r>
      <w:bookmarkEnd w:id="23"/>
      <w:r w:rsidRPr="000C0DB9">
        <w:t xml:space="preserve"> </w:t>
      </w:r>
    </w:p>
    <w:p w14:paraId="4C0D0C14" w14:textId="4966934A" w:rsidR="00EC5598" w:rsidRPr="00751099" w:rsidRDefault="00EA5A06" w:rsidP="00EC5598">
      <w:pPr>
        <w:pStyle w:val="NormalWeb"/>
        <w:shd w:val="clear" w:color="auto" w:fill="FFFFFF"/>
        <w:spacing w:before="0" w:beforeAutospacing="0" w:after="0" w:afterAutospacing="0" w:line="264" w:lineRule="auto"/>
        <w:rPr>
          <w:rFonts w:ascii="Century Gothic" w:eastAsiaTheme="minorHAnsi" w:hAnsi="Century Gothic" w:cstheme="minorBidi"/>
          <w:kern w:val="2"/>
          <w:sz w:val="20"/>
          <w:szCs w:val="20"/>
          <w:lang w:eastAsia="en-US"/>
          <w14:ligatures w14:val="standardContextual"/>
        </w:rPr>
      </w:pPr>
      <w:r>
        <w:rPr>
          <w:rFonts w:ascii="Century Gothic" w:eastAsiaTheme="minorHAnsi" w:hAnsi="Century Gothic" w:cstheme="minorBidi"/>
          <w:kern w:val="2"/>
          <w:sz w:val="20"/>
          <w:szCs w:val="20"/>
          <w:lang w:eastAsia="en-US"/>
          <w14:ligatures w14:val="standardContextual"/>
        </w:rPr>
        <w:t>I</w:t>
      </w:r>
      <w:r w:rsidR="00EC5598" w:rsidRPr="00751099">
        <w:rPr>
          <w:rFonts w:ascii="Century Gothic" w:eastAsiaTheme="minorHAnsi" w:hAnsi="Century Gothic" w:cstheme="minorBidi"/>
          <w:kern w:val="2"/>
          <w:sz w:val="20"/>
          <w:szCs w:val="20"/>
          <w:lang w:eastAsia="en-US"/>
          <w14:ligatures w14:val="standardContextual"/>
        </w:rPr>
        <w:t xml:space="preserve">n 2024 the Australian Government progressed its Aboriginal Water Entitlements Program (AWEP), releasing the Strategic Purchasing Framework for the program with its increased budget of $100 million (increased in late 2023 from $40 million).  The programs focus is the Murray Darling Basin with a prioritization of location and entitlements provided in Table 1 and Table 2, with the following program objectives:  </w:t>
      </w:r>
    </w:p>
    <w:p w14:paraId="2B952E70" w14:textId="77777777" w:rsidR="00EC5598" w:rsidRPr="00751099" w:rsidRDefault="00EC5598" w:rsidP="00EC5598">
      <w:pPr>
        <w:pStyle w:val="NormalWeb"/>
        <w:numPr>
          <w:ilvl w:val="0"/>
          <w:numId w:val="40"/>
        </w:numPr>
        <w:shd w:val="clear" w:color="auto" w:fill="FFFFFF"/>
        <w:spacing w:before="0" w:beforeAutospacing="0" w:after="0" w:afterAutospacing="0" w:line="264" w:lineRule="auto"/>
        <w:rPr>
          <w:rFonts w:ascii="Century Gothic" w:eastAsiaTheme="minorHAnsi" w:hAnsi="Century Gothic" w:cstheme="minorBidi"/>
          <w:kern w:val="2"/>
          <w:sz w:val="20"/>
          <w:szCs w:val="20"/>
          <w:lang w:eastAsia="en-US"/>
          <w14:ligatures w14:val="standardContextual"/>
        </w:rPr>
      </w:pPr>
      <w:r w:rsidRPr="00751099">
        <w:rPr>
          <w:rFonts w:ascii="Century Gothic" w:eastAsiaTheme="minorHAnsi" w:hAnsi="Century Gothic" w:cstheme="minorBidi"/>
          <w:kern w:val="2"/>
          <w:sz w:val="20"/>
          <w:szCs w:val="20"/>
          <w:lang w:eastAsia="en-US"/>
          <w14:ligatures w14:val="standardContextual"/>
        </w:rPr>
        <w:t xml:space="preserve">Acquire surface water entitlements to enhance water security for Basin First Nations Peoples. </w:t>
      </w:r>
    </w:p>
    <w:p w14:paraId="152349FE" w14:textId="77777777" w:rsidR="00EC5598" w:rsidRPr="00751099" w:rsidRDefault="00EC5598" w:rsidP="00EC5598">
      <w:pPr>
        <w:pStyle w:val="NormalWeb"/>
        <w:numPr>
          <w:ilvl w:val="0"/>
          <w:numId w:val="39"/>
        </w:numPr>
        <w:shd w:val="clear" w:color="auto" w:fill="FFFFFF"/>
        <w:spacing w:before="0" w:beforeAutospacing="0" w:after="0" w:afterAutospacing="0" w:line="264" w:lineRule="auto"/>
        <w:rPr>
          <w:rFonts w:ascii="Century Gothic" w:eastAsiaTheme="minorHAnsi" w:hAnsi="Century Gothic" w:cstheme="minorBidi"/>
          <w:kern w:val="2"/>
          <w:sz w:val="20"/>
          <w:szCs w:val="20"/>
          <w:lang w:eastAsia="en-US"/>
          <w14:ligatures w14:val="standardContextual"/>
        </w:rPr>
      </w:pPr>
      <w:r w:rsidRPr="00751099">
        <w:rPr>
          <w:rFonts w:ascii="Century Gothic" w:eastAsiaTheme="minorHAnsi" w:hAnsi="Century Gothic" w:cstheme="minorBidi"/>
          <w:kern w:val="2"/>
          <w:sz w:val="20"/>
          <w:szCs w:val="20"/>
          <w:lang w:eastAsia="en-US"/>
          <w14:ligatures w14:val="standardContextual"/>
        </w:rPr>
        <w:t xml:space="preserve">Ensure purchases align with the principle of connectivity, underpinned by wealth generation. </w:t>
      </w:r>
    </w:p>
    <w:p w14:paraId="05DA5DCF" w14:textId="77777777" w:rsidR="00EC5598" w:rsidRPr="00751099" w:rsidRDefault="00EC5598" w:rsidP="00EC5598">
      <w:pPr>
        <w:pStyle w:val="NormalWeb"/>
        <w:numPr>
          <w:ilvl w:val="0"/>
          <w:numId w:val="39"/>
        </w:numPr>
        <w:shd w:val="clear" w:color="auto" w:fill="FFFFFF"/>
        <w:spacing w:before="0" w:beforeAutospacing="0" w:after="0" w:afterAutospacing="0" w:line="264" w:lineRule="auto"/>
        <w:rPr>
          <w:rFonts w:ascii="Century Gothic" w:eastAsiaTheme="minorHAnsi" w:hAnsi="Century Gothic" w:cstheme="minorBidi"/>
          <w:kern w:val="2"/>
          <w:sz w:val="20"/>
          <w:szCs w:val="20"/>
          <w:lang w:eastAsia="en-US"/>
          <w14:ligatures w14:val="standardContextual"/>
        </w:rPr>
      </w:pPr>
      <w:r w:rsidRPr="00751099">
        <w:rPr>
          <w:rFonts w:ascii="Century Gothic" w:eastAsiaTheme="minorHAnsi" w:hAnsi="Century Gothic" w:cstheme="minorBidi"/>
          <w:kern w:val="2"/>
          <w:sz w:val="20"/>
          <w:szCs w:val="20"/>
          <w:lang w:eastAsia="en-US"/>
          <w14:ligatures w14:val="standardContextual"/>
        </w:rPr>
        <w:t>Achieve value for money for Basin First Nations Peoples and the Australian Government.</w:t>
      </w:r>
    </w:p>
    <w:p w14:paraId="254D7B15" w14:textId="4BB4E27A" w:rsidR="00EC5598" w:rsidRPr="00751099" w:rsidRDefault="00EC5598" w:rsidP="00EC5598">
      <w:pPr>
        <w:pStyle w:val="NormalWeb"/>
        <w:numPr>
          <w:ilvl w:val="0"/>
          <w:numId w:val="39"/>
        </w:numPr>
        <w:shd w:val="clear" w:color="auto" w:fill="FFFFFF"/>
        <w:spacing w:before="0" w:beforeAutospacing="0" w:after="0" w:afterAutospacing="0" w:line="264" w:lineRule="auto"/>
        <w:rPr>
          <w:rFonts w:ascii="Century Gothic" w:eastAsiaTheme="minorHAnsi" w:hAnsi="Century Gothic" w:cstheme="minorBidi"/>
          <w:kern w:val="2"/>
          <w:sz w:val="20"/>
          <w:szCs w:val="20"/>
          <w:lang w:eastAsia="en-US"/>
          <w14:ligatures w14:val="standardContextual"/>
        </w:rPr>
      </w:pPr>
      <w:r w:rsidRPr="00751099">
        <w:rPr>
          <w:rFonts w:ascii="Century Gothic" w:eastAsiaTheme="minorHAnsi" w:hAnsi="Century Gothic" w:cstheme="minorBidi"/>
          <w:kern w:val="2"/>
          <w:sz w:val="20"/>
          <w:szCs w:val="20"/>
          <w:lang w:eastAsia="en-US"/>
          <w14:ligatures w14:val="standardContextual"/>
        </w:rPr>
        <w:t>Maintain high standards of probity, transparency, and accountability.</w:t>
      </w:r>
    </w:p>
    <w:p w14:paraId="2877A6E7" w14:textId="77777777" w:rsidR="00EC5598" w:rsidRPr="00751099" w:rsidRDefault="00EC5598" w:rsidP="00EC5598">
      <w:pPr>
        <w:pStyle w:val="NormalWeb"/>
        <w:shd w:val="clear" w:color="auto" w:fill="FFFFFF"/>
        <w:spacing w:before="0" w:beforeAutospacing="0" w:after="0" w:afterAutospacing="0" w:line="264" w:lineRule="auto"/>
        <w:rPr>
          <w:rFonts w:ascii="Century Gothic" w:eastAsiaTheme="minorHAnsi" w:hAnsi="Century Gothic" w:cstheme="minorBidi"/>
          <w:kern w:val="2"/>
          <w:sz w:val="20"/>
          <w:szCs w:val="20"/>
          <w:lang w:eastAsia="en-US"/>
          <w14:ligatures w14:val="standardContextual"/>
        </w:rPr>
      </w:pPr>
    </w:p>
    <w:p w14:paraId="114AB055" w14:textId="77777777" w:rsidR="00EC5598" w:rsidRDefault="00EC5598" w:rsidP="00EC5598">
      <w:pPr>
        <w:pStyle w:val="NormalWeb"/>
        <w:shd w:val="clear" w:color="auto" w:fill="FFFFFF"/>
        <w:spacing w:before="0" w:beforeAutospacing="0" w:after="0" w:afterAutospacing="0" w:line="264" w:lineRule="auto"/>
        <w:rPr>
          <w:rFonts w:ascii="Century Gothic" w:eastAsiaTheme="minorHAnsi" w:hAnsi="Century Gothic" w:cstheme="minorBidi"/>
          <w:kern w:val="2"/>
          <w:sz w:val="20"/>
          <w:szCs w:val="20"/>
          <w:lang w:eastAsia="en-US"/>
          <w14:ligatures w14:val="standardContextual"/>
        </w:rPr>
      </w:pPr>
      <w:r w:rsidRPr="00751099">
        <w:rPr>
          <w:rFonts w:ascii="Century Gothic" w:eastAsiaTheme="minorHAnsi" w:hAnsi="Century Gothic" w:cstheme="minorBidi"/>
          <w:kern w:val="2"/>
          <w:sz w:val="20"/>
          <w:szCs w:val="20"/>
          <w:lang w:eastAsia="en-US"/>
          <w14:ligatures w14:val="standardContextual"/>
        </w:rPr>
        <w:t xml:space="preserve">The AWEP is aimed at contributing to the National Closing the Gap strategy and targets.  Currently there is no specific volumetric national inland waters target, each jurisdiction plans to establish their own. </w:t>
      </w:r>
    </w:p>
    <w:p w14:paraId="62F880BB" w14:textId="77777777" w:rsidR="00AA1633" w:rsidRDefault="00AA1633" w:rsidP="00EC5598">
      <w:pPr>
        <w:pStyle w:val="NormalWeb"/>
        <w:shd w:val="clear" w:color="auto" w:fill="FFFFFF"/>
        <w:spacing w:before="0" w:beforeAutospacing="0" w:after="0" w:afterAutospacing="0" w:line="264" w:lineRule="auto"/>
        <w:rPr>
          <w:rFonts w:ascii="Century Gothic" w:eastAsiaTheme="minorHAnsi" w:hAnsi="Century Gothic" w:cstheme="minorBidi"/>
          <w:kern w:val="2"/>
          <w:sz w:val="20"/>
          <w:szCs w:val="20"/>
          <w:lang w:eastAsia="en-US"/>
          <w14:ligatures w14:val="standardContextual"/>
        </w:rPr>
      </w:pPr>
    </w:p>
    <w:p w14:paraId="795B5A22" w14:textId="4BBEBB92" w:rsidR="00EC5598" w:rsidRDefault="00AA1633" w:rsidP="006E5B48">
      <w:pPr>
        <w:pStyle w:val="NormalWeb"/>
        <w:shd w:val="clear" w:color="auto" w:fill="FFFFFF"/>
        <w:spacing w:before="0" w:beforeAutospacing="0" w:after="0" w:afterAutospacing="0" w:line="264" w:lineRule="auto"/>
        <w:rPr>
          <w:rFonts w:ascii="Century Gothic" w:eastAsiaTheme="minorHAnsi" w:hAnsi="Century Gothic" w:cstheme="minorBidi"/>
          <w:i/>
          <w:iCs/>
          <w:kern w:val="2"/>
          <w:sz w:val="20"/>
          <w:szCs w:val="20"/>
          <w:lang w:eastAsia="en-US"/>
          <w14:ligatures w14:val="standardContextual"/>
        </w:rPr>
      </w:pPr>
      <w:r>
        <w:rPr>
          <w:rFonts w:ascii="Century Gothic" w:eastAsiaTheme="minorHAnsi" w:hAnsi="Century Gothic" w:cstheme="minorBidi"/>
          <w:kern w:val="2"/>
          <w:sz w:val="20"/>
          <w:szCs w:val="20"/>
          <w:lang w:eastAsia="en-US"/>
          <w14:ligatures w14:val="standardContextual"/>
        </w:rPr>
        <w:t>NIC strongly supported that:</w:t>
      </w:r>
      <w:r>
        <w:rPr>
          <w:rFonts w:ascii="Century Gothic" w:eastAsiaTheme="minorHAnsi" w:hAnsi="Century Gothic" w:cstheme="minorBidi"/>
          <w:kern w:val="2"/>
          <w:sz w:val="20"/>
          <w:szCs w:val="20"/>
          <w:lang w:eastAsia="en-US"/>
          <w14:ligatures w14:val="standardContextual"/>
        </w:rPr>
        <w:br/>
      </w:r>
      <w:r w:rsidRPr="00AA1633">
        <w:rPr>
          <w:rFonts w:ascii="Century Gothic" w:eastAsiaTheme="minorHAnsi" w:hAnsi="Century Gothic" w:cstheme="minorBidi"/>
          <w:i/>
          <w:iCs/>
          <w:kern w:val="2"/>
          <w:sz w:val="20"/>
          <w:szCs w:val="20"/>
          <w:lang w:eastAsia="en-US"/>
          <w14:ligatures w14:val="standardContextual"/>
        </w:rPr>
        <w:t>“All water entitlements purchased through the program will remain in the consumptive pool. Entitlement characteristics will not change with a change of ownership.”</w:t>
      </w:r>
    </w:p>
    <w:p w14:paraId="0F39CA23" w14:textId="77777777" w:rsidR="00DB28E9" w:rsidRDefault="00DB28E9" w:rsidP="006E5B48">
      <w:pPr>
        <w:pStyle w:val="NormalWeb"/>
        <w:shd w:val="clear" w:color="auto" w:fill="FFFFFF"/>
        <w:spacing w:before="0" w:beforeAutospacing="0" w:after="0" w:afterAutospacing="0" w:line="264" w:lineRule="auto"/>
        <w:rPr>
          <w:rFonts w:ascii="Century Gothic" w:eastAsiaTheme="minorHAnsi" w:hAnsi="Century Gothic" w:cstheme="minorBidi"/>
          <w:i/>
          <w:iCs/>
          <w:kern w:val="2"/>
          <w:sz w:val="20"/>
          <w:szCs w:val="20"/>
          <w:lang w:eastAsia="en-US"/>
          <w14:ligatures w14:val="standardContextual"/>
        </w:rPr>
      </w:pPr>
    </w:p>
    <w:p w14:paraId="718C042D" w14:textId="77777777" w:rsidR="00A07430" w:rsidRDefault="00DB28E9" w:rsidP="00A07430">
      <w:pPr>
        <w:pStyle w:val="NormalWeb"/>
        <w:shd w:val="clear" w:color="auto" w:fill="FFFFFF"/>
        <w:spacing w:before="0" w:beforeAutospacing="0" w:after="0" w:afterAutospacing="0" w:line="264" w:lineRule="auto"/>
        <w:rPr>
          <w:rFonts w:ascii="Century Gothic" w:eastAsiaTheme="minorHAnsi" w:hAnsi="Century Gothic" w:cstheme="minorBidi"/>
          <w:kern w:val="2"/>
          <w:sz w:val="20"/>
          <w:szCs w:val="20"/>
          <w:lang w:eastAsia="en-US"/>
          <w14:ligatures w14:val="standardContextual"/>
        </w:rPr>
      </w:pPr>
      <w:r>
        <w:rPr>
          <w:rFonts w:ascii="Century Gothic" w:eastAsiaTheme="minorHAnsi" w:hAnsi="Century Gothic" w:cstheme="minorBidi"/>
          <w:kern w:val="2"/>
          <w:sz w:val="20"/>
          <w:szCs w:val="20"/>
          <w:lang w:eastAsia="en-US"/>
          <w14:ligatures w14:val="standardContextual"/>
        </w:rPr>
        <w:t xml:space="preserve">This is a key part of respecting the NWI-style water </w:t>
      </w:r>
      <w:r w:rsidR="000E463D">
        <w:rPr>
          <w:rFonts w:ascii="Century Gothic" w:eastAsiaTheme="minorHAnsi" w:hAnsi="Century Gothic" w:cstheme="minorBidi"/>
          <w:kern w:val="2"/>
          <w:sz w:val="20"/>
          <w:szCs w:val="20"/>
          <w:lang w:eastAsia="en-US"/>
          <w14:ligatures w14:val="standardContextual"/>
        </w:rPr>
        <w:t xml:space="preserve">framework. </w:t>
      </w:r>
    </w:p>
    <w:p w14:paraId="61E39747" w14:textId="77777777" w:rsidR="00A07430" w:rsidRDefault="00A07430" w:rsidP="00A07430">
      <w:pPr>
        <w:pStyle w:val="NormalWeb"/>
        <w:shd w:val="clear" w:color="auto" w:fill="FFFFFF"/>
        <w:spacing w:before="0" w:beforeAutospacing="0" w:after="0" w:afterAutospacing="0" w:line="264" w:lineRule="auto"/>
        <w:rPr>
          <w:rFonts w:ascii="Century Gothic" w:eastAsiaTheme="minorHAnsi" w:hAnsi="Century Gothic" w:cstheme="minorBidi"/>
          <w:kern w:val="2"/>
          <w:sz w:val="20"/>
          <w:szCs w:val="20"/>
          <w:lang w:eastAsia="en-US"/>
          <w14:ligatures w14:val="standardContextual"/>
        </w:rPr>
      </w:pPr>
    </w:p>
    <w:p w14:paraId="706DFD4E" w14:textId="3A6731EA" w:rsidR="00DB28E9" w:rsidRDefault="00A07430" w:rsidP="006E5B48">
      <w:pPr>
        <w:pStyle w:val="NormalWeb"/>
        <w:shd w:val="clear" w:color="auto" w:fill="FFFFFF"/>
        <w:spacing w:before="0" w:beforeAutospacing="0" w:after="0" w:afterAutospacing="0" w:line="264" w:lineRule="auto"/>
        <w:rPr>
          <w:rFonts w:ascii="Century Gothic" w:eastAsiaTheme="minorHAnsi" w:hAnsi="Century Gothic" w:cstheme="minorBidi"/>
          <w:kern w:val="2"/>
          <w:sz w:val="20"/>
          <w:szCs w:val="20"/>
          <w:lang w:eastAsia="en-US"/>
          <w14:ligatures w14:val="standardContextual"/>
        </w:rPr>
      </w:pPr>
      <w:r w:rsidRPr="00BE4005">
        <w:rPr>
          <w:rFonts w:ascii="Century Gothic" w:eastAsiaTheme="minorHAnsi" w:hAnsi="Century Gothic" w:cstheme="minorBidi"/>
          <w:kern w:val="2"/>
          <w:sz w:val="20"/>
          <w:szCs w:val="20"/>
          <w:lang w:eastAsia="en-US"/>
          <w14:ligatures w14:val="standardContextual"/>
        </w:rPr>
        <w:t>Interim governance arrangements were established with targeted purchases towards the program beginning in 2025.  The outcome of these purchases is unknown</w:t>
      </w:r>
      <w:r>
        <w:rPr>
          <w:rFonts w:ascii="Century Gothic" w:eastAsiaTheme="minorHAnsi" w:hAnsi="Century Gothic" w:cstheme="minorBidi"/>
          <w:kern w:val="2"/>
          <w:sz w:val="20"/>
          <w:szCs w:val="20"/>
          <w:lang w:eastAsia="en-US"/>
          <w14:ligatures w14:val="standardContextual"/>
        </w:rPr>
        <w:t xml:space="preserve">, but extracts from the Strategic Purchasing Framework are below. </w:t>
      </w:r>
    </w:p>
    <w:p w14:paraId="2FB397DA" w14:textId="77777777" w:rsidR="00DF2812" w:rsidRPr="00DB28E9" w:rsidRDefault="00DF2812" w:rsidP="006E5B48">
      <w:pPr>
        <w:pStyle w:val="NormalWeb"/>
        <w:shd w:val="clear" w:color="auto" w:fill="FFFFFF"/>
        <w:spacing w:before="0" w:beforeAutospacing="0" w:after="0" w:afterAutospacing="0" w:line="264" w:lineRule="auto"/>
        <w:rPr>
          <w:rFonts w:ascii="Century Gothic" w:eastAsiaTheme="minorHAnsi" w:hAnsi="Century Gothic" w:cstheme="minorBidi"/>
          <w:kern w:val="2"/>
          <w:sz w:val="20"/>
          <w:szCs w:val="20"/>
          <w:lang w:eastAsia="en-US"/>
          <w14:ligatures w14:val="standardContextual"/>
        </w:rPr>
      </w:pPr>
    </w:p>
    <w:p w14:paraId="409DBF77" w14:textId="77777777" w:rsidR="00EC5598" w:rsidRPr="00751099" w:rsidRDefault="00EC5598" w:rsidP="00EC5598">
      <w:pPr>
        <w:pStyle w:val="Caption"/>
        <w:keepNext/>
        <w:rPr>
          <w:rFonts w:ascii="Century Gothic" w:hAnsi="Century Gothic"/>
        </w:rPr>
      </w:pPr>
      <w:r w:rsidRPr="00751099">
        <w:rPr>
          <w:rFonts w:ascii="Century Gothic" w:hAnsi="Century Gothic"/>
        </w:rPr>
        <w:lastRenderedPageBreak/>
        <w:t xml:space="preserve">Table </w:t>
      </w:r>
      <w:r w:rsidRPr="00751099">
        <w:rPr>
          <w:rFonts w:ascii="Century Gothic" w:hAnsi="Century Gothic"/>
        </w:rPr>
        <w:fldChar w:fldCharType="begin"/>
      </w:r>
      <w:r w:rsidRPr="00751099">
        <w:rPr>
          <w:rFonts w:ascii="Century Gothic" w:hAnsi="Century Gothic"/>
        </w:rPr>
        <w:instrText xml:space="preserve"> SEQ Table \* ARABIC </w:instrText>
      </w:r>
      <w:r w:rsidRPr="00751099">
        <w:rPr>
          <w:rFonts w:ascii="Century Gothic" w:hAnsi="Century Gothic"/>
        </w:rPr>
        <w:fldChar w:fldCharType="separate"/>
      </w:r>
      <w:r w:rsidRPr="00751099">
        <w:rPr>
          <w:rFonts w:ascii="Century Gothic" w:hAnsi="Century Gothic"/>
          <w:noProof/>
        </w:rPr>
        <w:t>1</w:t>
      </w:r>
      <w:r w:rsidRPr="00751099">
        <w:rPr>
          <w:rFonts w:ascii="Century Gothic" w:hAnsi="Century Gothic"/>
        </w:rPr>
        <w:fldChar w:fldCharType="end"/>
      </w:r>
      <w:r w:rsidRPr="00751099">
        <w:rPr>
          <w:rFonts w:ascii="Century Gothic" w:hAnsi="Century Gothic"/>
        </w:rPr>
        <w:t>: Priority 1 for the Strategic Purchasing Framework for AWEP</w:t>
      </w:r>
    </w:p>
    <w:p w14:paraId="7EC70E78" w14:textId="77777777" w:rsidR="00EC5598" w:rsidRPr="00751099" w:rsidRDefault="00EC5598" w:rsidP="00EC5598">
      <w:pPr>
        <w:pStyle w:val="NormalWeb"/>
        <w:shd w:val="clear" w:color="auto" w:fill="FFFFFF"/>
        <w:spacing w:before="0" w:beforeAutospacing="0" w:after="0" w:afterAutospacing="0" w:line="264" w:lineRule="auto"/>
        <w:rPr>
          <w:rFonts w:ascii="Century Gothic" w:eastAsiaTheme="minorHAnsi" w:hAnsi="Century Gothic" w:cstheme="minorBidi"/>
          <w:kern w:val="2"/>
          <w:sz w:val="18"/>
          <w:szCs w:val="18"/>
          <w:lang w:eastAsia="en-US"/>
          <w14:ligatures w14:val="standardContextual"/>
        </w:rPr>
      </w:pPr>
      <w:r w:rsidRPr="00751099">
        <w:rPr>
          <w:rFonts w:ascii="Century Gothic" w:eastAsiaTheme="minorHAnsi" w:hAnsi="Century Gothic" w:cstheme="minorBidi"/>
          <w:noProof/>
          <w:kern w:val="2"/>
          <w:sz w:val="18"/>
          <w:szCs w:val="18"/>
          <w:lang w:eastAsia="en-US"/>
          <w14:ligatures w14:val="standardContextual"/>
        </w:rPr>
        <w:drawing>
          <wp:inline distT="0" distB="0" distL="0" distR="0" wp14:anchorId="7AB14B30" wp14:editId="4335C140">
            <wp:extent cx="4876800" cy="3080853"/>
            <wp:effectExtent l="0" t="0" r="0" b="5715"/>
            <wp:docPr id="126386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92636" name=""/>
                    <pic:cNvPicPr/>
                  </pic:nvPicPr>
                  <pic:blipFill>
                    <a:blip r:embed="rId23"/>
                    <a:stretch>
                      <a:fillRect/>
                    </a:stretch>
                  </pic:blipFill>
                  <pic:spPr>
                    <a:xfrm>
                      <a:off x="0" y="0"/>
                      <a:ext cx="4888465" cy="3088222"/>
                    </a:xfrm>
                    <a:prstGeom prst="rect">
                      <a:avLst/>
                    </a:prstGeom>
                  </pic:spPr>
                </pic:pic>
              </a:graphicData>
            </a:graphic>
          </wp:inline>
        </w:drawing>
      </w:r>
    </w:p>
    <w:p w14:paraId="3583146B" w14:textId="77777777" w:rsidR="00EC5598" w:rsidRPr="00751099" w:rsidRDefault="00EC5598" w:rsidP="00EC5598">
      <w:pPr>
        <w:pStyle w:val="NormalWeb"/>
        <w:shd w:val="clear" w:color="auto" w:fill="FFFFFF"/>
        <w:spacing w:before="0" w:beforeAutospacing="0" w:after="0" w:afterAutospacing="0" w:line="264" w:lineRule="auto"/>
        <w:rPr>
          <w:rFonts w:ascii="Century Gothic" w:eastAsiaTheme="minorHAnsi" w:hAnsi="Century Gothic" w:cstheme="minorBidi"/>
          <w:kern w:val="2"/>
          <w:sz w:val="18"/>
          <w:szCs w:val="18"/>
          <w:lang w:eastAsia="en-US"/>
          <w14:ligatures w14:val="standardContextual"/>
        </w:rPr>
      </w:pPr>
    </w:p>
    <w:p w14:paraId="00B32C69" w14:textId="77777777" w:rsidR="00EC5598" w:rsidRPr="00751099" w:rsidRDefault="00EC5598" w:rsidP="00EC5598">
      <w:pPr>
        <w:pStyle w:val="Caption"/>
        <w:keepNext/>
        <w:rPr>
          <w:rFonts w:ascii="Century Gothic" w:hAnsi="Century Gothic"/>
        </w:rPr>
      </w:pPr>
      <w:r w:rsidRPr="00751099">
        <w:rPr>
          <w:rFonts w:ascii="Century Gothic" w:hAnsi="Century Gothic"/>
        </w:rPr>
        <w:t xml:space="preserve">Table </w:t>
      </w:r>
      <w:r w:rsidRPr="00751099">
        <w:rPr>
          <w:rFonts w:ascii="Century Gothic" w:hAnsi="Century Gothic"/>
        </w:rPr>
        <w:fldChar w:fldCharType="begin"/>
      </w:r>
      <w:r w:rsidRPr="00751099">
        <w:rPr>
          <w:rFonts w:ascii="Century Gothic" w:hAnsi="Century Gothic"/>
        </w:rPr>
        <w:instrText xml:space="preserve"> SEQ Table \* ARABIC </w:instrText>
      </w:r>
      <w:r w:rsidRPr="00751099">
        <w:rPr>
          <w:rFonts w:ascii="Century Gothic" w:hAnsi="Century Gothic"/>
        </w:rPr>
        <w:fldChar w:fldCharType="separate"/>
      </w:r>
      <w:r w:rsidRPr="00751099">
        <w:rPr>
          <w:rFonts w:ascii="Century Gothic" w:hAnsi="Century Gothic"/>
          <w:noProof/>
        </w:rPr>
        <w:t>2</w:t>
      </w:r>
      <w:r w:rsidRPr="00751099">
        <w:rPr>
          <w:rFonts w:ascii="Century Gothic" w:hAnsi="Century Gothic"/>
        </w:rPr>
        <w:fldChar w:fldCharType="end"/>
      </w:r>
      <w:r w:rsidRPr="00751099">
        <w:rPr>
          <w:rFonts w:ascii="Century Gothic" w:hAnsi="Century Gothic"/>
        </w:rPr>
        <w:t>: Priority 2 for the Strategic Purchasing Framework for AWEP</w:t>
      </w:r>
    </w:p>
    <w:p w14:paraId="74BB5BF5" w14:textId="77777777" w:rsidR="00EC5598" w:rsidRPr="00751099" w:rsidRDefault="00EC5598" w:rsidP="00EC5598">
      <w:pPr>
        <w:pStyle w:val="NormalWeb"/>
        <w:shd w:val="clear" w:color="auto" w:fill="FFFFFF"/>
        <w:spacing w:before="0" w:beforeAutospacing="0" w:after="0" w:afterAutospacing="0" w:line="264" w:lineRule="auto"/>
        <w:rPr>
          <w:rFonts w:ascii="Century Gothic" w:eastAsiaTheme="minorHAnsi" w:hAnsi="Century Gothic" w:cstheme="minorBidi"/>
          <w:kern w:val="2"/>
          <w:sz w:val="18"/>
          <w:szCs w:val="18"/>
          <w:lang w:eastAsia="en-US"/>
          <w14:ligatures w14:val="standardContextual"/>
        </w:rPr>
      </w:pPr>
      <w:r w:rsidRPr="00751099">
        <w:rPr>
          <w:rFonts w:ascii="Century Gothic" w:eastAsiaTheme="minorHAnsi" w:hAnsi="Century Gothic" w:cstheme="minorBidi"/>
          <w:noProof/>
          <w:kern w:val="2"/>
          <w:sz w:val="18"/>
          <w:szCs w:val="18"/>
          <w:lang w:eastAsia="en-US"/>
          <w14:ligatures w14:val="standardContextual"/>
        </w:rPr>
        <w:drawing>
          <wp:inline distT="0" distB="0" distL="0" distR="0" wp14:anchorId="1B96E078" wp14:editId="23673DE4">
            <wp:extent cx="4101818" cy="4324350"/>
            <wp:effectExtent l="0" t="0" r="0" b="0"/>
            <wp:docPr id="668715258" name="Picture 2" descr="A list of number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15258" name="Picture 2" descr="A list of numbers and words&#10;&#10;AI-generated content may be incorrect."/>
                    <pic:cNvPicPr/>
                  </pic:nvPicPr>
                  <pic:blipFill>
                    <a:blip r:embed="rId24"/>
                    <a:stretch>
                      <a:fillRect/>
                    </a:stretch>
                  </pic:blipFill>
                  <pic:spPr>
                    <a:xfrm>
                      <a:off x="0" y="0"/>
                      <a:ext cx="4111290" cy="4334336"/>
                    </a:xfrm>
                    <a:prstGeom prst="rect">
                      <a:avLst/>
                    </a:prstGeom>
                  </pic:spPr>
                </pic:pic>
              </a:graphicData>
            </a:graphic>
          </wp:inline>
        </w:drawing>
      </w:r>
    </w:p>
    <w:p w14:paraId="52C3BF77" w14:textId="77777777" w:rsidR="00EC5598" w:rsidRPr="00751099" w:rsidRDefault="00EC5598" w:rsidP="00EC5598">
      <w:pPr>
        <w:pStyle w:val="NormalWeb"/>
        <w:shd w:val="clear" w:color="auto" w:fill="FFFFFF"/>
        <w:spacing w:before="0" w:beforeAutospacing="0" w:after="0" w:afterAutospacing="0" w:line="264" w:lineRule="auto"/>
        <w:rPr>
          <w:rFonts w:ascii="Century Gothic" w:eastAsiaTheme="minorHAnsi" w:hAnsi="Century Gothic" w:cstheme="minorBidi"/>
          <w:kern w:val="2"/>
          <w:sz w:val="18"/>
          <w:szCs w:val="18"/>
          <w:lang w:eastAsia="en-US"/>
          <w14:ligatures w14:val="standardContextual"/>
        </w:rPr>
      </w:pPr>
    </w:p>
    <w:p w14:paraId="1D1FE23C" w14:textId="77777777" w:rsidR="00EB79D8" w:rsidRDefault="00EB79D8" w:rsidP="006E26EC">
      <w:pPr>
        <w:jc w:val="both"/>
        <w:rPr>
          <w:rFonts w:ascii="Century Gothic" w:hAnsi="Century Gothic"/>
          <w:sz w:val="18"/>
          <w:szCs w:val="18"/>
        </w:rPr>
      </w:pPr>
    </w:p>
    <w:p w14:paraId="30F46B31" w14:textId="7DEE13AB" w:rsidR="00AB1AEE" w:rsidRPr="008F0429" w:rsidRDefault="008F0429" w:rsidP="00F176A2">
      <w:pPr>
        <w:rPr>
          <w:rFonts w:ascii="Century Gothic" w:hAnsi="Century Gothic"/>
          <w:b/>
          <w:bCs/>
          <w:sz w:val="20"/>
          <w:szCs w:val="20"/>
        </w:rPr>
      </w:pPr>
      <w:r w:rsidRPr="008F0429">
        <w:rPr>
          <w:rFonts w:ascii="Century Gothic" w:hAnsi="Century Gothic"/>
          <w:b/>
          <w:bCs/>
          <w:sz w:val="20"/>
          <w:szCs w:val="20"/>
        </w:rPr>
        <w:t>Temporary trade</w:t>
      </w:r>
    </w:p>
    <w:p w14:paraId="2EAC381B" w14:textId="707B98F9" w:rsidR="00FB0432" w:rsidRDefault="007D6326" w:rsidP="00F176A2">
      <w:pPr>
        <w:rPr>
          <w:rFonts w:ascii="Century Gothic" w:hAnsi="Century Gothic"/>
          <w:sz w:val="20"/>
          <w:szCs w:val="20"/>
        </w:rPr>
      </w:pPr>
      <w:r>
        <w:rPr>
          <w:rFonts w:ascii="Century Gothic" w:hAnsi="Century Gothic"/>
          <w:sz w:val="20"/>
          <w:szCs w:val="20"/>
        </w:rPr>
        <w:lastRenderedPageBreak/>
        <w:t>NIC supports the approach of looking at temporary trading opportunities.</w:t>
      </w:r>
      <w:r w:rsidR="006045BB">
        <w:rPr>
          <w:rStyle w:val="FootnoteReference"/>
          <w:rFonts w:ascii="Century Gothic" w:hAnsi="Century Gothic"/>
          <w:sz w:val="20"/>
          <w:szCs w:val="20"/>
        </w:rPr>
        <w:footnoteReference w:id="12"/>
      </w:r>
      <w:r>
        <w:rPr>
          <w:rFonts w:ascii="Century Gothic" w:hAnsi="Century Gothic"/>
          <w:sz w:val="20"/>
          <w:szCs w:val="20"/>
        </w:rPr>
        <w:t xml:space="preserve"> </w:t>
      </w:r>
    </w:p>
    <w:p w14:paraId="397E0D6E" w14:textId="7A47C8CA" w:rsidR="00FB0432" w:rsidRDefault="00FB0432" w:rsidP="00F176A2">
      <w:pPr>
        <w:rPr>
          <w:rFonts w:ascii="Century Gothic" w:hAnsi="Century Gothic"/>
          <w:sz w:val="20"/>
          <w:szCs w:val="20"/>
        </w:rPr>
      </w:pPr>
      <w:r w:rsidRPr="00FB0432">
        <w:rPr>
          <w:rFonts w:ascii="Century Gothic" w:hAnsi="Century Gothic"/>
          <w:sz w:val="20"/>
          <w:szCs w:val="20"/>
        </w:rPr>
        <w:t>Temporary water trading allows the use of water entitlements in a flexible way</w:t>
      </w:r>
      <w:r>
        <w:rPr>
          <w:rFonts w:ascii="Century Gothic" w:hAnsi="Century Gothic"/>
          <w:sz w:val="20"/>
          <w:szCs w:val="20"/>
        </w:rPr>
        <w:t xml:space="preserve">, to </w:t>
      </w:r>
      <w:r w:rsidRPr="00FB0432">
        <w:rPr>
          <w:rFonts w:ascii="Century Gothic" w:hAnsi="Century Gothic"/>
          <w:sz w:val="20"/>
          <w:szCs w:val="20"/>
        </w:rPr>
        <w:t>respond to opportunities that arise through seasonal water availability</w:t>
      </w:r>
      <w:r w:rsidR="00B53202">
        <w:rPr>
          <w:rFonts w:ascii="Century Gothic" w:hAnsi="Century Gothic"/>
          <w:sz w:val="20"/>
          <w:szCs w:val="20"/>
        </w:rPr>
        <w:t>,</w:t>
      </w:r>
      <w:r w:rsidRPr="00FB0432">
        <w:rPr>
          <w:rFonts w:ascii="Century Gothic" w:hAnsi="Century Gothic"/>
          <w:sz w:val="20"/>
          <w:szCs w:val="20"/>
        </w:rPr>
        <w:t xml:space="preserve"> market prices</w:t>
      </w:r>
      <w:r w:rsidR="00B53202">
        <w:rPr>
          <w:rFonts w:ascii="Century Gothic" w:hAnsi="Century Gothic"/>
          <w:sz w:val="20"/>
          <w:szCs w:val="20"/>
        </w:rPr>
        <w:t xml:space="preserve"> and demands.</w:t>
      </w:r>
      <w:r w:rsidR="00030567">
        <w:rPr>
          <w:rStyle w:val="FootnoteReference"/>
          <w:rFonts w:ascii="Century Gothic" w:hAnsi="Century Gothic"/>
          <w:sz w:val="20"/>
          <w:szCs w:val="20"/>
        </w:rPr>
        <w:footnoteReference w:id="13"/>
      </w:r>
      <w:r w:rsidR="00B53202">
        <w:rPr>
          <w:rFonts w:ascii="Century Gothic" w:hAnsi="Century Gothic"/>
          <w:sz w:val="20"/>
          <w:szCs w:val="20"/>
        </w:rPr>
        <w:t xml:space="preserve"> </w:t>
      </w:r>
    </w:p>
    <w:p w14:paraId="05F3F3EB" w14:textId="5D55FE7E" w:rsidR="00B53202" w:rsidRDefault="00B53202" w:rsidP="00B53202">
      <w:pPr>
        <w:rPr>
          <w:rFonts w:ascii="Century Gothic" w:hAnsi="Century Gothic"/>
          <w:b/>
          <w:bCs/>
          <w:sz w:val="20"/>
          <w:szCs w:val="20"/>
        </w:rPr>
      </w:pPr>
      <w:r>
        <w:rPr>
          <w:rFonts w:ascii="Century Gothic" w:hAnsi="Century Gothic"/>
          <w:b/>
          <w:bCs/>
          <w:sz w:val="20"/>
          <w:szCs w:val="20"/>
        </w:rPr>
        <w:t>Governance</w:t>
      </w:r>
    </w:p>
    <w:p w14:paraId="43FA5D1E" w14:textId="2B1DBCEC" w:rsidR="00030567" w:rsidRPr="008C07F6" w:rsidRDefault="00076F01" w:rsidP="00B53202">
      <w:pPr>
        <w:rPr>
          <w:rFonts w:ascii="Century Gothic" w:hAnsi="Century Gothic"/>
          <w:sz w:val="20"/>
          <w:szCs w:val="20"/>
        </w:rPr>
      </w:pPr>
      <w:r>
        <w:rPr>
          <w:rFonts w:ascii="Century Gothic" w:hAnsi="Century Gothic"/>
          <w:sz w:val="20"/>
          <w:szCs w:val="20"/>
        </w:rPr>
        <w:t>NIC is of the position that e</w:t>
      </w:r>
      <w:r w:rsidRPr="00076F01">
        <w:rPr>
          <w:rFonts w:ascii="Century Gothic" w:hAnsi="Century Gothic"/>
          <w:sz w:val="20"/>
          <w:szCs w:val="20"/>
        </w:rPr>
        <w:t>nduring, transparent and accountable governance frameworks must be in place prior to use of public funds to purchase entitlements for any purpose - including Cultural or environmental.</w:t>
      </w:r>
    </w:p>
    <w:p w14:paraId="2DCF2702" w14:textId="66E1CF3B" w:rsidR="00076F01" w:rsidRDefault="00076F01" w:rsidP="00076F01">
      <w:pPr>
        <w:rPr>
          <w:rFonts w:ascii="Century Gothic" w:hAnsi="Century Gothic"/>
          <w:sz w:val="20"/>
          <w:szCs w:val="20"/>
        </w:rPr>
      </w:pPr>
      <w:r>
        <w:rPr>
          <w:rFonts w:ascii="Century Gothic" w:hAnsi="Century Gothic"/>
          <w:sz w:val="20"/>
          <w:szCs w:val="20"/>
        </w:rPr>
        <w:t>At this point in time, i</w:t>
      </w:r>
      <w:r w:rsidRPr="008C07F6">
        <w:rPr>
          <w:rFonts w:ascii="Century Gothic" w:hAnsi="Century Gothic"/>
          <w:sz w:val="20"/>
          <w:szCs w:val="20"/>
        </w:rPr>
        <w:t>nterim governance arrangements have been established</w:t>
      </w:r>
      <w:r>
        <w:rPr>
          <w:rFonts w:ascii="Century Gothic" w:hAnsi="Century Gothic"/>
          <w:sz w:val="20"/>
          <w:szCs w:val="20"/>
        </w:rPr>
        <w:t xml:space="preserve">, and enduring water holding arrangements are under development. </w:t>
      </w:r>
      <w:r w:rsidR="00822657">
        <w:rPr>
          <w:rFonts w:ascii="Century Gothic" w:hAnsi="Century Gothic"/>
          <w:sz w:val="20"/>
          <w:szCs w:val="20"/>
        </w:rPr>
        <w:t>It is understood that interim arrangements include an advisory group and a directorate.</w:t>
      </w:r>
      <w:r w:rsidR="00BB186B">
        <w:rPr>
          <w:rStyle w:val="FootnoteReference"/>
          <w:rFonts w:ascii="Century Gothic" w:hAnsi="Century Gothic"/>
          <w:sz w:val="20"/>
          <w:szCs w:val="20"/>
        </w:rPr>
        <w:footnoteReference w:id="14"/>
      </w:r>
    </w:p>
    <w:p w14:paraId="0F27181E" w14:textId="7B11245B" w:rsidR="00D36157" w:rsidRDefault="00CE132D" w:rsidP="00076F01">
      <w:pPr>
        <w:rPr>
          <w:rFonts w:ascii="Century Gothic" w:hAnsi="Century Gothic"/>
          <w:sz w:val="20"/>
          <w:szCs w:val="20"/>
        </w:rPr>
      </w:pPr>
      <w:r>
        <w:rPr>
          <w:rFonts w:ascii="Century Gothic" w:hAnsi="Century Gothic"/>
          <w:sz w:val="20"/>
          <w:szCs w:val="20"/>
        </w:rPr>
        <w:t xml:space="preserve">In terms of enduring arrangements, </w:t>
      </w:r>
      <w:r w:rsidR="00D36157">
        <w:rPr>
          <w:rFonts w:ascii="Century Gothic" w:hAnsi="Century Gothic"/>
          <w:sz w:val="20"/>
          <w:szCs w:val="20"/>
        </w:rPr>
        <w:t>NIC notes that:</w:t>
      </w:r>
    </w:p>
    <w:p w14:paraId="008D1391" w14:textId="41756339" w:rsidR="00D36157" w:rsidRPr="00D36157" w:rsidRDefault="00D36157" w:rsidP="00D36157">
      <w:pPr>
        <w:rPr>
          <w:rFonts w:ascii="Century Gothic" w:hAnsi="Century Gothic"/>
          <w:i/>
          <w:iCs/>
          <w:sz w:val="20"/>
          <w:szCs w:val="20"/>
        </w:rPr>
      </w:pPr>
      <w:r w:rsidRPr="00D36157">
        <w:rPr>
          <w:rFonts w:ascii="Century Gothic" w:hAnsi="Century Gothic"/>
          <w:i/>
          <w:iCs/>
          <w:sz w:val="20"/>
          <w:szCs w:val="20"/>
        </w:rPr>
        <w:t>“Based on the outcomes and benefits identified by Basin First Nations through extensive co-design, a </w:t>
      </w:r>
      <w:r w:rsidRPr="00D36157">
        <w:rPr>
          <w:rFonts w:ascii="Century Gothic" w:hAnsi="Century Gothic"/>
          <w:b/>
          <w:bCs/>
          <w:i/>
          <w:iCs/>
          <w:sz w:val="20"/>
          <w:szCs w:val="20"/>
        </w:rPr>
        <w:t>Charitable Trust</w:t>
      </w:r>
      <w:r w:rsidRPr="00D36157">
        <w:rPr>
          <w:rFonts w:ascii="Century Gothic" w:hAnsi="Century Gothic"/>
          <w:i/>
          <w:iCs/>
          <w:sz w:val="20"/>
          <w:szCs w:val="20"/>
        </w:rPr>
        <w:t> has been identified as the proposed model. The Government will continue to work with Basin First Nations Peoples to co-design the Charitable Trust.”</w:t>
      </w:r>
    </w:p>
    <w:p w14:paraId="3E2BA897" w14:textId="5290F99D" w:rsidR="00066678" w:rsidRDefault="00FD515A" w:rsidP="00D36157">
      <w:pPr>
        <w:rPr>
          <w:rFonts w:ascii="Century Gothic" w:hAnsi="Century Gothic"/>
          <w:sz w:val="20"/>
          <w:szCs w:val="20"/>
        </w:rPr>
      </w:pPr>
      <w:r>
        <w:rPr>
          <w:rFonts w:ascii="Century Gothic" w:hAnsi="Century Gothic"/>
          <w:sz w:val="20"/>
          <w:szCs w:val="20"/>
        </w:rPr>
        <w:t xml:space="preserve">NIC </w:t>
      </w:r>
      <w:r w:rsidR="00037A9F">
        <w:rPr>
          <w:rFonts w:ascii="Century Gothic" w:hAnsi="Century Gothic"/>
          <w:sz w:val="20"/>
          <w:szCs w:val="20"/>
        </w:rPr>
        <w:t xml:space="preserve">is concerned by the direction of these governance arrangements, </w:t>
      </w:r>
      <w:r w:rsidR="00300257">
        <w:rPr>
          <w:rFonts w:ascii="Century Gothic" w:hAnsi="Century Gothic"/>
          <w:sz w:val="20"/>
          <w:szCs w:val="20"/>
        </w:rPr>
        <w:t>for the reasons identified in the interim report of draft governance models.</w:t>
      </w:r>
      <w:r w:rsidR="00AE54E5">
        <w:rPr>
          <w:rStyle w:val="FootnoteReference"/>
          <w:rFonts w:ascii="Century Gothic" w:hAnsi="Century Gothic"/>
          <w:sz w:val="20"/>
          <w:szCs w:val="20"/>
        </w:rPr>
        <w:footnoteReference w:id="15"/>
      </w:r>
      <w:r w:rsidR="00300257">
        <w:rPr>
          <w:rFonts w:ascii="Century Gothic" w:hAnsi="Century Gothic"/>
          <w:sz w:val="20"/>
          <w:szCs w:val="20"/>
        </w:rPr>
        <w:t xml:space="preserve"> </w:t>
      </w:r>
      <w:r w:rsidR="00066678">
        <w:rPr>
          <w:rFonts w:ascii="Century Gothic" w:hAnsi="Century Gothic"/>
          <w:sz w:val="20"/>
          <w:szCs w:val="20"/>
        </w:rPr>
        <w:t>For example</w:t>
      </w:r>
      <w:r w:rsidR="007D1ED1">
        <w:rPr>
          <w:rFonts w:ascii="Century Gothic" w:hAnsi="Century Gothic"/>
          <w:sz w:val="20"/>
          <w:szCs w:val="20"/>
        </w:rPr>
        <w:t>:</w:t>
      </w:r>
    </w:p>
    <w:p w14:paraId="2987AF25" w14:textId="2BF1456D" w:rsidR="003B25E1" w:rsidRPr="007D1ED1" w:rsidRDefault="003B25E1" w:rsidP="00D36157">
      <w:pPr>
        <w:rPr>
          <w:rFonts w:ascii="Century Gothic" w:hAnsi="Century Gothic"/>
          <w:i/>
          <w:iCs/>
          <w:sz w:val="20"/>
          <w:szCs w:val="20"/>
        </w:rPr>
      </w:pPr>
      <w:r>
        <w:rPr>
          <w:rFonts w:ascii="Century Gothic" w:hAnsi="Century Gothic"/>
          <w:i/>
          <w:iCs/>
          <w:sz w:val="20"/>
          <w:szCs w:val="20"/>
        </w:rPr>
        <w:t>“</w:t>
      </w:r>
      <w:r w:rsidRPr="003B25E1">
        <w:rPr>
          <w:rFonts w:ascii="Century Gothic" w:hAnsi="Century Gothic"/>
          <w:i/>
          <w:iCs/>
          <w:sz w:val="20"/>
          <w:szCs w:val="20"/>
        </w:rPr>
        <w:t>A private trust model, while independent of government, would lack the accountability and transparency mechanisms built into the statutory trust model and make it harder for individuals to raise concerns and obtain government review or action. For an individual Basin First Nation or First Nation Person, it could be difficult to enforce the terms of the Trust Deed. This could be managed to some extent by nominating appointors in the Trust Deed – however, there would never be the broad rights available in the statutory trust model.</w:t>
      </w:r>
      <w:r>
        <w:rPr>
          <w:rFonts w:ascii="Century Gothic" w:hAnsi="Century Gothic"/>
          <w:i/>
          <w:iCs/>
          <w:sz w:val="20"/>
          <w:szCs w:val="20"/>
        </w:rPr>
        <w:t>”</w:t>
      </w:r>
    </w:p>
    <w:p w14:paraId="1E1B0957" w14:textId="66ED7197" w:rsidR="00AE54E5" w:rsidRDefault="00AE54E5" w:rsidP="00D36157">
      <w:pPr>
        <w:rPr>
          <w:rFonts w:ascii="Century Gothic" w:hAnsi="Century Gothic"/>
          <w:sz w:val="20"/>
          <w:szCs w:val="20"/>
        </w:rPr>
      </w:pPr>
      <w:r>
        <w:rPr>
          <w:rFonts w:ascii="Century Gothic" w:hAnsi="Century Gothic"/>
          <w:sz w:val="20"/>
          <w:szCs w:val="20"/>
        </w:rPr>
        <w:t>A</w:t>
      </w:r>
      <w:r w:rsidR="00A85F74">
        <w:rPr>
          <w:rFonts w:ascii="Century Gothic" w:hAnsi="Century Gothic"/>
          <w:sz w:val="20"/>
          <w:szCs w:val="20"/>
        </w:rPr>
        <w:t xml:space="preserve">ppropriate governance arrangements, particularly where public funds are involved, where there is an objective of wealth transfer, </w:t>
      </w:r>
      <w:r>
        <w:rPr>
          <w:rFonts w:ascii="Century Gothic" w:hAnsi="Century Gothic"/>
          <w:sz w:val="20"/>
          <w:szCs w:val="20"/>
        </w:rPr>
        <w:t xml:space="preserve">and likely strategic commercial opportunities being sought, </w:t>
      </w:r>
      <w:r w:rsidR="00A85F74">
        <w:rPr>
          <w:rFonts w:ascii="Century Gothic" w:hAnsi="Century Gothic"/>
          <w:sz w:val="20"/>
          <w:szCs w:val="20"/>
        </w:rPr>
        <w:t>is critical to get right.</w:t>
      </w:r>
      <w:r>
        <w:rPr>
          <w:rFonts w:ascii="Century Gothic" w:hAnsi="Century Gothic"/>
          <w:sz w:val="20"/>
          <w:szCs w:val="20"/>
        </w:rPr>
        <w:t xml:space="preserve"> There must be robust oversight and audit mechanisms in place, including with sk</w:t>
      </w:r>
      <w:r w:rsidR="00251FE1">
        <w:rPr>
          <w:rFonts w:ascii="Century Gothic" w:hAnsi="Century Gothic"/>
          <w:sz w:val="20"/>
          <w:szCs w:val="20"/>
        </w:rPr>
        <w:t xml:space="preserve">ill in technical water matters. </w:t>
      </w:r>
    </w:p>
    <w:p w14:paraId="76E4CD6A" w14:textId="36FBC3B7" w:rsidR="00444799" w:rsidRDefault="00444799" w:rsidP="00D36157">
      <w:pPr>
        <w:rPr>
          <w:rFonts w:ascii="Century Gothic" w:hAnsi="Century Gothic"/>
          <w:sz w:val="20"/>
          <w:szCs w:val="20"/>
        </w:rPr>
      </w:pPr>
      <w:r w:rsidRPr="00D91812">
        <w:rPr>
          <w:rFonts w:ascii="Century Gothic" w:hAnsi="Century Gothic"/>
          <w:b/>
          <w:bCs/>
          <w:sz w:val="20"/>
          <w:szCs w:val="20"/>
        </w:rPr>
        <w:t>NIC recommend</w:t>
      </w:r>
      <w:r w:rsidRPr="00751099">
        <w:rPr>
          <w:rFonts w:ascii="Century Gothic" w:hAnsi="Century Gothic"/>
          <w:sz w:val="20"/>
          <w:szCs w:val="20"/>
        </w:rPr>
        <w:t xml:space="preserve"> that</w:t>
      </w:r>
      <w:r>
        <w:rPr>
          <w:rFonts w:ascii="Century Gothic" w:hAnsi="Century Gothic"/>
          <w:sz w:val="20"/>
          <w:szCs w:val="20"/>
        </w:rPr>
        <w:t>:</w:t>
      </w:r>
    </w:p>
    <w:p w14:paraId="20A413C0" w14:textId="5BE5DBE5" w:rsidR="00444F2D" w:rsidRPr="00BC6CE4" w:rsidRDefault="002366C0" w:rsidP="00D36157">
      <w:pPr>
        <w:pStyle w:val="ListParagraph"/>
        <w:numPr>
          <w:ilvl w:val="0"/>
          <w:numId w:val="50"/>
        </w:numPr>
        <w:rPr>
          <w:rFonts w:ascii="Century Gothic" w:hAnsi="Century Gothic"/>
          <w:sz w:val="20"/>
          <w:szCs w:val="20"/>
        </w:rPr>
      </w:pPr>
      <w:r w:rsidRPr="00444799">
        <w:rPr>
          <w:rFonts w:ascii="Century Gothic" w:hAnsi="Century Gothic"/>
          <w:sz w:val="20"/>
          <w:szCs w:val="20"/>
        </w:rPr>
        <w:t xml:space="preserve">Further work is required to ensure appropriate governance arrangements, to ensure realisation of objectives, </w:t>
      </w:r>
      <w:r w:rsidR="00444F2D" w:rsidRPr="00444799">
        <w:rPr>
          <w:rFonts w:ascii="Century Gothic" w:hAnsi="Century Gothic"/>
          <w:sz w:val="20"/>
          <w:szCs w:val="20"/>
        </w:rPr>
        <w:t xml:space="preserve">and </w:t>
      </w:r>
      <w:r w:rsidRPr="00444799">
        <w:rPr>
          <w:rFonts w:ascii="Century Gothic" w:hAnsi="Century Gothic"/>
          <w:sz w:val="20"/>
          <w:szCs w:val="20"/>
        </w:rPr>
        <w:t>accountability for proper use of public funds</w:t>
      </w:r>
      <w:r w:rsidR="00444F2D" w:rsidRPr="00444799">
        <w:rPr>
          <w:rFonts w:ascii="Century Gothic" w:hAnsi="Century Gothic"/>
          <w:sz w:val="20"/>
          <w:szCs w:val="20"/>
        </w:rPr>
        <w:t xml:space="preserve">. </w:t>
      </w:r>
    </w:p>
    <w:p w14:paraId="2AC5CE55" w14:textId="5C176D1F" w:rsidR="00C72914" w:rsidRPr="00751099" w:rsidRDefault="00444F2D" w:rsidP="00C72914">
      <w:pPr>
        <w:pStyle w:val="Heading2"/>
        <w:rPr>
          <w:rFonts w:ascii="Century Gothic" w:hAnsi="Century Gothic"/>
          <w:sz w:val="28"/>
          <w:szCs w:val="28"/>
        </w:rPr>
      </w:pPr>
      <w:bookmarkStart w:id="24" w:name="_Toc233372741"/>
      <w:r>
        <w:rPr>
          <w:rFonts w:ascii="Century Gothic" w:hAnsi="Century Gothic"/>
          <w:sz w:val="28"/>
          <w:szCs w:val="28"/>
        </w:rPr>
        <w:t>Decision-making</w:t>
      </w:r>
      <w:bookmarkEnd w:id="24"/>
    </w:p>
    <w:p w14:paraId="459E9CFB" w14:textId="4E3E94CE" w:rsidR="00444F2D" w:rsidRDefault="00444F2D" w:rsidP="00C72914">
      <w:pPr>
        <w:rPr>
          <w:rFonts w:ascii="Century Gothic" w:hAnsi="Century Gothic"/>
          <w:sz w:val="20"/>
          <w:szCs w:val="20"/>
        </w:rPr>
      </w:pPr>
      <w:r>
        <w:rPr>
          <w:rFonts w:ascii="Century Gothic" w:hAnsi="Century Gothic"/>
          <w:sz w:val="20"/>
          <w:szCs w:val="20"/>
        </w:rPr>
        <w:t>NIC notes the Northern Basin Aboriginal Nations (NBAN) and Murray Lower-Darling Indigenous Nations (MLDRIN)</w:t>
      </w:r>
      <w:r w:rsidR="003C14D8">
        <w:rPr>
          <w:rFonts w:ascii="Century Gothic" w:hAnsi="Century Gothic"/>
          <w:sz w:val="20"/>
          <w:szCs w:val="20"/>
        </w:rPr>
        <w:t xml:space="preserve"> </w:t>
      </w:r>
      <w:r>
        <w:rPr>
          <w:rFonts w:ascii="Century Gothic" w:hAnsi="Century Gothic"/>
          <w:sz w:val="20"/>
          <w:szCs w:val="20"/>
        </w:rPr>
        <w:t xml:space="preserve">were </w:t>
      </w:r>
      <w:r w:rsidR="00A63825">
        <w:rPr>
          <w:rFonts w:ascii="Century Gothic" w:hAnsi="Century Gothic"/>
          <w:sz w:val="20"/>
          <w:szCs w:val="20"/>
        </w:rPr>
        <w:t>established</w:t>
      </w:r>
      <w:r>
        <w:rPr>
          <w:rFonts w:ascii="Century Gothic" w:hAnsi="Century Gothic"/>
          <w:sz w:val="20"/>
          <w:szCs w:val="20"/>
        </w:rPr>
        <w:t xml:space="preserve"> to address many of the issues raised in the Discussion Paper. </w:t>
      </w:r>
    </w:p>
    <w:p w14:paraId="4B1AF25E" w14:textId="51DF7B2D" w:rsidR="004743A3" w:rsidRDefault="00444F2D" w:rsidP="00C72914">
      <w:pPr>
        <w:rPr>
          <w:rFonts w:ascii="Century Gothic" w:hAnsi="Century Gothic"/>
          <w:sz w:val="20"/>
          <w:szCs w:val="20"/>
        </w:rPr>
      </w:pPr>
      <w:r>
        <w:rPr>
          <w:rFonts w:ascii="Century Gothic" w:hAnsi="Century Gothic"/>
          <w:sz w:val="20"/>
          <w:szCs w:val="20"/>
        </w:rPr>
        <w:t xml:space="preserve">As part of the public </w:t>
      </w:r>
      <w:r w:rsidR="0055520D">
        <w:rPr>
          <w:rFonts w:ascii="Century Gothic" w:hAnsi="Century Gothic"/>
          <w:sz w:val="20"/>
          <w:szCs w:val="20"/>
        </w:rPr>
        <w:t>consultation</w:t>
      </w:r>
      <w:r>
        <w:rPr>
          <w:rFonts w:ascii="Century Gothic" w:hAnsi="Century Gothic"/>
          <w:sz w:val="20"/>
          <w:szCs w:val="20"/>
        </w:rPr>
        <w:t>,</w:t>
      </w:r>
      <w:r w:rsidR="004743A3">
        <w:rPr>
          <w:rFonts w:ascii="Century Gothic" w:hAnsi="Century Gothic"/>
          <w:sz w:val="20"/>
          <w:szCs w:val="20"/>
        </w:rPr>
        <w:t xml:space="preserve"> and the issues raised,</w:t>
      </w:r>
      <w:r>
        <w:rPr>
          <w:rFonts w:ascii="Century Gothic" w:hAnsi="Century Gothic"/>
          <w:sz w:val="20"/>
          <w:szCs w:val="20"/>
        </w:rPr>
        <w:t xml:space="preserve"> it will be important </w:t>
      </w:r>
      <w:r w:rsidR="0055520D">
        <w:rPr>
          <w:rFonts w:ascii="Century Gothic" w:hAnsi="Century Gothic"/>
          <w:sz w:val="20"/>
          <w:szCs w:val="20"/>
        </w:rPr>
        <w:t>to</w:t>
      </w:r>
      <w:r w:rsidR="004743A3">
        <w:rPr>
          <w:rFonts w:ascii="Century Gothic" w:hAnsi="Century Gothic"/>
          <w:sz w:val="20"/>
          <w:szCs w:val="20"/>
        </w:rPr>
        <w:t xml:space="preserve"> evaluate these </w:t>
      </w:r>
      <w:r w:rsidR="00687404">
        <w:rPr>
          <w:rFonts w:ascii="Century Gothic" w:hAnsi="Century Gothic"/>
          <w:sz w:val="20"/>
          <w:szCs w:val="20"/>
        </w:rPr>
        <w:t>models’</w:t>
      </w:r>
      <w:r w:rsidR="004743A3">
        <w:rPr>
          <w:rFonts w:ascii="Century Gothic" w:hAnsi="Century Gothic"/>
          <w:sz w:val="20"/>
          <w:szCs w:val="20"/>
        </w:rPr>
        <w:t xml:space="preserve"> effectiveness.</w:t>
      </w:r>
    </w:p>
    <w:p w14:paraId="7633F9D1" w14:textId="6B1A8F49" w:rsidR="00A93C15" w:rsidRDefault="00A93C15" w:rsidP="00C72914">
      <w:pPr>
        <w:rPr>
          <w:rFonts w:ascii="Century Gothic" w:hAnsi="Century Gothic"/>
          <w:sz w:val="20"/>
          <w:szCs w:val="20"/>
        </w:rPr>
      </w:pPr>
      <w:r>
        <w:rPr>
          <w:rFonts w:ascii="Century Gothic" w:hAnsi="Century Gothic"/>
          <w:sz w:val="20"/>
          <w:szCs w:val="20"/>
        </w:rPr>
        <w:t xml:space="preserve">NIC </w:t>
      </w:r>
      <w:r w:rsidR="004743A3">
        <w:rPr>
          <w:rFonts w:ascii="Century Gothic" w:hAnsi="Century Gothic"/>
          <w:sz w:val="20"/>
          <w:szCs w:val="20"/>
        </w:rPr>
        <w:t>notes that NBAN, for example, was</w:t>
      </w:r>
      <w:r w:rsidR="00E4439F">
        <w:rPr>
          <w:rFonts w:ascii="Century Gothic" w:hAnsi="Century Gothic"/>
          <w:sz w:val="20"/>
          <w:szCs w:val="20"/>
        </w:rPr>
        <w:t xml:space="preserve"> recently</w:t>
      </w:r>
      <w:r w:rsidR="004743A3">
        <w:rPr>
          <w:rFonts w:ascii="Century Gothic" w:hAnsi="Century Gothic"/>
          <w:sz w:val="20"/>
          <w:szCs w:val="20"/>
        </w:rPr>
        <w:t xml:space="preserve"> disbanded, with the MDBA saying</w:t>
      </w:r>
      <w:r>
        <w:rPr>
          <w:rFonts w:ascii="Century Gothic" w:hAnsi="Century Gothic"/>
          <w:sz w:val="20"/>
          <w:szCs w:val="20"/>
        </w:rPr>
        <w:t>:</w:t>
      </w:r>
    </w:p>
    <w:p w14:paraId="39165DF7" w14:textId="5B8FD29D" w:rsidR="00A93C15" w:rsidRPr="004743A3" w:rsidRDefault="00FB154B" w:rsidP="00C72914">
      <w:pPr>
        <w:rPr>
          <w:rFonts w:ascii="Century Gothic" w:hAnsi="Century Gothic"/>
          <w:i/>
          <w:iCs/>
          <w:sz w:val="20"/>
          <w:szCs w:val="20"/>
        </w:rPr>
      </w:pPr>
      <w:r w:rsidRPr="004743A3">
        <w:rPr>
          <w:rFonts w:ascii="Century Gothic" w:hAnsi="Century Gothic"/>
          <w:i/>
          <w:iCs/>
          <w:sz w:val="20"/>
          <w:szCs w:val="20"/>
        </w:rPr>
        <w:lastRenderedPageBreak/>
        <w:t xml:space="preserve">“In recent times, NBAN has been unable to deliver on its contractual </w:t>
      </w:r>
      <w:r w:rsidR="005E6D25" w:rsidRPr="004743A3">
        <w:rPr>
          <w:rFonts w:ascii="Century Gothic" w:hAnsi="Century Gothic"/>
          <w:i/>
          <w:iCs/>
          <w:sz w:val="20"/>
          <w:szCs w:val="20"/>
        </w:rPr>
        <w:t>commitments,</w:t>
      </w:r>
      <w:r w:rsidRPr="004743A3">
        <w:rPr>
          <w:rFonts w:ascii="Century Gothic" w:hAnsi="Century Gothic"/>
          <w:i/>
          <w:iCs/>
          <w:sz w:val="20"/>
          <w:szCs w:val="20"/>
        </w:rPr>
        <w:t xml:space="preserve"> and we are now in the process of finalising these arrangements.”</w:t>
      </w:r>
      <w:r w:rsidRPr="004743A3">
        <w:rPr>
          <w:rStyle w:val="FootnoteReference"/>
          <w:rFonts w:ascii="Century Gothic" w:hAnsi="Century Gothic"/>
          <w:i/>
          <w:iCs/>
          <w:sz w:val="20"/>
          <w:szCs w:val="20"/>
        </w:rPr>
        <w:footnoteReference w:id="16"/>
      </w:r>
    </w:p>
    <w:p w14:paraId="728B885A" w14:textId="6EF517CF" w:rsidR="00C72914" w:rsidRPr="00751099" w:rsidRDefault="00687404" w:rsidP="00C72914">
      <w:pPr>
        <w:rPr>
          <w:rFonts w:ascii="Century Gothic" w:hAnsi="Century Gothic"/>
          <w:sz w:val="20"/>
          <w:szCs w:val="20"/>
        </w:rPr>
      </w:pPr>
      <w:r>
        <w:rPr>
          <w:rFonts w:ascii="Century Gothic" w:hAnsi="Century Gothic"/>
          <w:sz w:val="20"/>
          <w:szCs w:val="20"/>
        </w:rPr>
        <w:t>It is understood further work has</w:t>
      </w:r>
      <w:r w:rsidR="00E4439F">
        <w:rPr>
          <w:rFonts w:ascii="Century Gothic" w:hAnsi="Century Gothic"/>
          <w:sz w:val="20"/>
          <w:szCs w:val="20"/>
        </w:rPr>
        <w:t xml:space="preserve"> since</w:t>
      </w:r>
      <w:r>
        <w:rPr>
          <w:rFonts w:ascii="Century Gothic" w:hAnsi="Century Gothic"/>
          <w:sz w:val="20"/>
          <w:szCs w:val="20"/>
        </w:rPr>
        <w:t xml:space="preserve"> </w:t>
      </w:r>
      <w:r w:rsidR="00E4439F">
        <w:rPr>
          <w:rFonts w:ascii="Century Gothic" w:hAnsi="Century Gothic"/>
          <w:sz w:val="20"/>
          <w:szCs w:val="20"/>
        </w:rPr>
        <w:t>been</w:t>
      </w:r>
      <w:r>
        <w:rPr>
          <w:rFonts w:ascii="Century Gothic" w:hAnsi="Century Gothic"/>
          <w:sz w:val="20"/>
          <w:szCs w:val="20"/>
        </w:rPr>
        <w:t xml:space="preserve"> occurring to look to strengthen First Nations engagement and representation. </w:t>
      </w:r>
      <w:r w:rsidR="0073462D">
        <w:rPr>
          <w:rFonts w:ascii="Century Gothic" w:hAnsi="Century Gothic"/>
          <w:sz w:val="20"/>
          <w:szCs w:val="20"/>
        </w:rPr>
        <w:t xml:space="preserve">NIC notes that the outcomes of that work </w:t>
      </w:r>
      <w:r w:rsidR="005E6D25">
        <w:rPr>
          <w:rFonts w:ascii="Century Gothic" w:hAnsi="Century Gothic"/>
          <w:sz w:val="20"/>
          <w:szCs w:val="20"/>
        </w:rPr>
        <w:t>were</w:t>
      </w:r>
      <w:r w:rsidR="0073462D">
        <w:rPr>
          <w:rFonts w:ascii="Century Gothic" w:hAnsi="Century Gothic"/>
          <w:sz w:val="20"/>
          <w:szCs w:val="20"/>
        </w:rPr>
        <w:t xml:space="preserve"> not included in the consultation materials. </w:t>
      </w:r>
      <w:r w:rsidR="00444799">
        <w:rPr>
          <w:rFonts w:ascii="Century Gothic" w:hAnsi="Century Gothic"/>
          <w:sz w:val="20"/>
          <w:szCs w:val="20"/>
        </w:rPr>
        <w:t xml:space="preserve">To the extent that it may have legislative implications, the outcomes from that work should be published and included in the public consultation. </w:t>
      </w:r>
    </w:p>
    <w:p w14:paraId="52C00D56" w14:textId="77777777" w:rsidR="00444799" w:rsidRDefault="00444799" w:rsidP="00444799">
      <w:pPr>
        <w:rPr>
          <w:rFonts w:ascii="Century Gothic" w:hAnsi="Century Gothic"/>
          <w:sz w:val="20"/>
          <w:szCs w:val="20"/>
        </w:rPr>
      </w:pPr>
      <w:r w:rsidRPr="00D91812">
        <w:rPr>
          <w:rFonts w:ascii="Century Gothic" w:hAnsi="Century Gothic"/>
          <w:b/>
          <w:bCs/>
          <w:sz w:val="20"/>
          <w:szCs w:val="20"/>
        </w:rPr>
        <w:t>NIC recommend</w:t>
      </w:r>
      <w:r w:rsidRPr="00751099">
        <w:rPr>
          <w:rFonts w:ascii="Century Gothic" w:hAnsi="Century Gothic"/>
          <w:sz w:val="20"/>
          <w:szCs w:val="20"/>
        </w:rPr>
        <w:t xml:space="preserve"> that</w:t>
      </w:r>
      <w:r>
        <w:rPr>
          <w:rFonts w:ascii="Century Gothic" w:hAnsi="Century Gothic"/>
          <w:sz w:val="20"/>
          <w:szCs w:val="20"/>
        </w:rPr>
        <w:t>:</w:t>
      </w:r>
    </w:p>
    <w:p w14:paraId="2775E222" w14:textId="2D9D8F82" w:rsidR="00D36157" w:rsidRPr="00A4641F" w:rsidRDefault="00444799" w:rsidP="00076F01">
      <w:pPr>
        <w:pStyle w:val="ListParagraph"/>
        <w:numPr>
          <w:ilvl w:val="0"/>
          <w:numId w:val="49"/>
        </w:numPr>
        <w:rPr>
          <w:rFonts w:ascii="Century Gothic" w:hAnsi="Century Gothic"/>
          <w:sz w:val="20"/>
          <w:szCs w:val="20"/>
        </w:rPr>
      </w:pPr>
      <w:r>
        <w:rPr>
          <w:rFonts w:ascii="Century Gothic" w:hAnsi="Century Gothic"/>
          <w:sz w:val="20"/>
          <w:szCs w:val="20"/>
        </w:rPr>
        <w:t xml:space="preserve">As part of the ongoing public consultation, the outcomes of </w:t>
      </w:r>
      <w:r w:rsidR="005072CB">
        <w:rPr>
          <w:rFonts w:ascii="Century Gothic" w:hAnsi="Century Gothic"/>
          <w:sz w:val="20"/>
          <w:szCs w:val="20"/>
        </w:rPr>
        <w:t xml:space="preserve">recent and ongoing </w:t>
      </w:r>
      <w:r>
        <w:rPr>
          <w:rFonts w:ascii="Century Gothic" w:hAnsi="Century Gothic"/>
          <w:sz w:val="20"/>
          <w:szCs w:val="20"/>
        </w:rPr>
        <w:t xml:space="preserve">work to improve First Nations engagement and representation is published. </w:t>
      </w:r>
    </w:p>
    <w:p w14:paraId="67B2DCF8" w14:textId="4E2F5D97" w:rsidR="00825D65" w:rsidRPr="00751099" w:rsidRDefault="00EA3D5B" w:rsidP="00900C17">
      <w:pPr>
        <w:pStyle w:val="Heading1"/>
        <w:rPr>
          <w:rFonts w:ascii="Century Gothic" w:hAnsi="Century Gothic"/>
          <w:sz w:val="36"/>
          <w:szCs w:val="36"/>
        </w:rPr>
      </w:pPr>
      <w:bookmarkStart w:id="25" w:name="_Toc233372742"/>
      <w:r w:rsidRPr="00751099">
        <w:rPr>
          <w:rFonts w:ascii="Century Gothic" w:hAnsi="Century Gothic"/>
          <w:sz w:val="36"/>
          <w:szCs w:val="36"/>
        </w:rPr>
        <w:t>Conclusion</w:t>
      </w:r>
      <w:bookmarkEnd w:id="25"/>
    </w:p>
    <w:p w14:paraId="387852FE" w14:textId="538AA498" w:rsidR="00291B54" w:rsidRDefault="001A6B15" w:rsidP="00F31B94">
      <w:pPr>
        <w:jc w:val="both"/>
        <w:rPr>
          <w:rFonts w:ascii="Century Gothic" w:hAnsi="Century Gothic"/>
          <w:sz w:val="20"/>
          <w:szCs w:val="20"/>
        </w:rPr>
      </w:pPr>
      <w:r>
        <w:rPr>
          <w:rFonts w:ascii="Century Gothic" w:hAnsi="Century Gothic"/>
          <w:sz w:val="20"/>
          <w:szCs w:val="20"/>
        </w:rPr>
        <w:t xml:space="preserve">This public consultation comes at a time of significant review of many aspects of water </w:t>
      </w:r>
      <w:r w:rsidR="00296C84">
        <w:rPr>
          <w:rFonts w:ascii="Century Gothic" w:hAnsi="Century Gothic"/>
          <w:sz w:val="20"/>
          <w:szCs w:val="20"/>
        </w:rPr>
        <w:t>management</w:t>
      </w:r>
      <w:r>
        <w:rPr>
          <w:rFonts w:ascii="Century Gothic" w:hAnsi="Century Gothic"/>
          <w:sz w:val="20"/>
          <w:szCs w:val="20"/>
        </w:rPr>
        <w:t xml:space="preserve">. NIC is concerned by looking at the available consultation materials that insufficient consideration has gone into understanding the </w:t>
      </w:r>
      <w:r w:rsidR="004B169B">
        <w:rPr>
          <w:rFonts w:ascii="Century Gothic" w:hAnsi="Century Gothic"/>
          <w:sz w:val="20"/>
          <w:szCs w:val="20"/>
        </w:rPr>
        <w:t>legislative context,</w:t>
      </w:r>
      <w:r>
        <w:rPr>
          <w:rFonts w:ascii="Century Gothic" w:hAnsi="Century Gothic"/>
          <w:sz w:val="20"/>
          <w:szCs w:val="20"/>
        </w:rPr>
        <w:t xml:space="preserve"> the nature of the issues, and exploring solutions. </w:t>
      </w:r>
      <w:r w:rsidR="00C75F86">
        <w:rPr>
          <w:rFonts w:ascii="Century Gothic" w:hAnsi="Century Gothic"/>
          <w:sz w:val="20"/>
          <w:szCs w:val="20"/>
        </w:rPr>
        <w:t xml:space="preserve">It will be critical that future rounds of public consultation provide stakeholders with sufficient information on the issues, as well as begin canvassing practical solutions to detail what is being proposed. </w:t>
      </w:r>
      <w:r w:rsidR="00296C84">
        <w:rPr>
          <w:rFonts w:ascii="Century Gothic" w:hAnsi="Century Gothic"/>
          <w:sz w:val="20"/>
          <w:szCs w:val="20"/>
        </w:rPr>
        <w:t xml:space="preserve">NIC is concerned given timeframes that </w:t>
      </w:r>
      <w:r w:rsidR="000D36DC">
        <w:rPr>
          <w:rFonts w:ascii="Century Gothic" w:hAnsi="Century Gothic"/>
          <w:sz w:val="20"/>
          <w:szCs w:val="20"/>
        </w:rPr>
        <w:t xml:space="preserve">poorly considered or rushed proposals will be put forward, which is not in the interests of any stakeholder. </w:t>
      </w:r>
    </w:p>
    <w:p w14:paraId="0838C0CA" w14:textId="7513172C" w:rsidR="00F31B94" w:rsidRDefault="009E7F92" w:rsidP="00F31B94">
      <w:pPr>
        <w:spacing w:after="0"/>
        <w:rPr>
          <w:rFonts w:ascii="Century Gothic" w:hAnsi="Century Gothic"/>
          <w:sz w:val="20"/>
          <w:szCs w:val="20"/>
        </w:rPr>
      </w:pPr>
      <w:r>
        <w:rPr>
          <w:rFonts w:ascii="Century Gothic" w:hAnsi="Century Gothic"/>
          <w:sz w:val="20"/>
          <w:szCs w:val="20"/>
        </w:rPr>
        <w:t>Further</w:t>
      </w:r>
      <w:r w:rsidR="00F31B94" w:rsidRPr="000B4D81">
        <w:rPr>
          <w:rFonts w:ascii="Century Gothic" w:hAnsi="Century Gothic"/>
          <w:sz w:val="20"/>
          <w:szCs w:val="20"/>
        </w:rPr>
        <w:t>, we consider that the establishment of a dedicated First Nations advisor mechanism</w:t>
      </w:r>
      <w:r w:rsidR="00F31B94">
        <w:rPr>
          <w:rFonts w:ascii="Century Gothic" w:hAnsi="Century Gothic"/>
          <w:sz w:val="20"/>
          <w:szCs w:val="20"/>
        </w:rPr>
        <w:t xml:space="preserve"> </w:t>
      </w:r>
      <w:r w:rsidR="00F31B94" w:rsidRPr="000B4D81">
        <w:rPr>
          <w:rFonts w:ascii="Century Gothic" w:hAnsi="Century Gothic"/>
          <w:sz w:val="20"/>
          <w:szCs w:val="20"/>
        </w:rPr>
        <w:t>without an equivalent skillset for industry represents a clear imbalance in how expertise is being valued and incorporated</w:t>
      </w:r>
      <w:r w:rsidR="00F31B94">
        <w:rPr>
          <w:rFonts w:ascii="Century Gothic" w:hAnsi="Century Gothic"/>
          <w:sz w:val="20"/>
          <w:szCs w:val="20"/>
        </w:rPr>
        <w:t xml:space="preserve"> into the Water Act Review</w:t>
      </w:r>
      <w:r w:rsidR="00F31B94" w:rsidRPr="000B4D81">
        <w:rPr>
          <w:rFonts w:ascii="Century Gothic" w:hAnsi="Century Gothic"/>
          <w:sz w:val="20"/>
          <w:szCs w:val="20"/>
        </w:rPr>
        <w:t>. Given the central role of agriculture in water-use and regional economies, a more balanced representation of expertise is required. This omission is notable given that the 2014 Review was supported by an Expert Panel with specific expertise across agriculture, science, and Local Government, providing a balanced foundation for consultation and advice. We would seek that be remedied and at least an agricultural sector advisor be appointed. Should this not be agreed then the Productivity Commission model of a Stakeholder Advisory Committee should be established.</w:t>
      </w:r>
    </w:p>
    <w:p w14:paraId="37DD748A" w14:textId="77777777" w:rsidR="009E7F92" w:rsidRDefault="009E7F92" w:rsidP="00F31B94">
      <w:pPr>
        <w:spacing w:after="0"/>
        <w:rPr>
          <w:rFonts w:ascii="Century Gothic" w:hAnsi="Century Gothic"/>
          <w:sz w:val="20"/>
          <w:szCs w:val="20"/>
        </w:rPr>
      </w:pPr>
    </w:p>
    <w:p w14:paraId="0C39A2E0" w14:textId="5DC663CA" w:rsidR="009E7F92" w:rsidRDefault="009E7F92" w:rsidP="00F31B94">
      <w:pPr>
        <w:spacing w:after="0"/>
        <w:rPr>
          <w:rFonts w:ascii="Century Gothic" w:hAnsi="Century Gothic"/>
          <w:sz w:val="20"/>
          <w:szCs w:val="20"/>
        </w:rPr>
      </w:pPr>
      <w:r>
        <w:rPr>
          <w:rFonts w:ascii="Century Gothic" w:hAnsi="Century Gothic"/>
          <w:sz w:val="20"/>
          <w:szCs w:val="20"/>
        </w:rPr>
        <w:t xml:space="preserve">The quiet nature of this consultation, which was not broadly advertised by DCCEEW, </w:t>
      </w:r>
      <w:r w:rsidR="0002459F">
        <w:rPr>
          <w:rFonts w:ascii="Century Gothic" w:hAnsi="Century Gothic"/>
          <w:sz w:val="20"/>
          <w:szCs w:val="20"/>
        </w:rPr>
        <w:t>is a concern</w:t>
      </w:r>
      <w:r w:rsidR="002A2DE8">
        <w:rPr>
          <w:rFonts w:ascii="Century Gothic" w:hAnsi="Century Gothic"/>
          <w:sz w:val="20"/>
          <w:szCs w:val="20"/>
        </w:rPr>
        <w:t xml:space="preserve">, reflecting a non-inclusive process. </w:t>
      </w:r>
      <w:r w:rsidR="00503412">
        <w:rPr>
          <w:rFonts w:ascii="Century Gothic" w:hAnsi="Century Gothic"/>
          <w:sz w:val="20"/>
          <w:szCs w:val="20"/>
        </w:rPr>
        <w:t>The matters raised are important for all stakeholders</w:t>
      </w:r>
      <w:r w:rsidR="003960D6">
        <w:rPr>
          <w:rFonts w:ascii="Century Gothic" w:hAnsi="Century Gothic"/>
          <w:sz w:val="20"/>
          <w:szCs w:val="20"/>
        </w:rPr>
        <w:t>.</w:t>
      </w:r>
      <w:r w:rsidR="006C0343">
        <w:rPr>
          <w:rFonts w:ascii="Century Gothic" w:hAnsi="Century Gothic"/>
          <w:sz w:val="20"/>
          <w:szCs w:val="20"/>
        </w:rPr>
        <w:t xml:space="preserve"> While we understand further consultation will be occurring in coming months</w:t>
      </w:r>
      <w:r w:rsidR="005309EA">
        <w:rPr>
          <w:rFonts w:ascii="Century Gothic" w:hAnsi="Century Gothic"/>
          <w:sz w:val="20"/>
          <w:szCs w:val="20"/>
        </w:rPr>
        <w:t xml:space="preserve">, it is important all stakeholders are at the table. </w:t>
      </w:r>
      <w:r w:rsidR="00CD4D20">
        <w:rPr>
          <w:rFonts w:ascii="Century Gothic" w:hAnsi="Century Gothic"/>
          <w:sz w:val="20"/>
          <w:szCs w:val="20"/>
        </w:rPr>
        <w:t xml:space="preserve">Approaches to consultation that seek to take a siloed-approach, to divide stakeholders, is not in the interest of coming together to </w:t>
      </w:r>
      <w:r w:rsidR="00A312B2">
        <w:rPr>
          <w:rFonts w:ascii="Century Gothic" w:hAnsi="Century Gothic"/>
          <w:sz w:val="20"/>
          <w:szCs w:val="20"/>
        </w:rPr>
        <w:t>create policy responses t</w:t>
      </w:r>
      <w:r w:rsidR="00F747C6">
        <w:rPr>
          <w:rFonts w:ascii="Century Gothic" w:hAnsi="Century Gothic"/>
          <w:sz w:val="20"/>
          <w:szCs w:val="20"/>
        </w:rPr>
        <w:t xml:space="preserve">hat meet objectives while having public support. </w:t>
      </w:r>
    </w:p>
    <w:p w14:paraId="16B5E772" w14:textId="77777777" w:rsidR="00F31B94" w:rsidRDefault="00F31B94" w:rsidP="00CC7DA6">
      <w:pPr>
        <w:spacing w:after="0"/>
        <w:rPr>
          <w:rFonts w:ascii="Century Gothic" w:hAnsi="Century Gothic"/>
          <w:sz w:val="20"/>
          <w:szCs w:val="20"/>
        </w:rPr>
      </w:pPr>
    </w:p>
    <w:p w14:paraId="6DB8B849" w14:textId="6ED2B07F" w:rsidR="00E97122" w:rsidRPr="00751099" w:rsidRDefault="00E97122" w:rsidP="00E44E25">
      <w:pPr>
        <w:jc w:val="both"/>
        <w:rPr>
          <w:rFonts w:ascii="Century Gothic" w:hAnsi="Century Gothic"/>
          <w:sz w:val="20"/>
          <w:szCs w:val="20"/>
          <w:lang w:val="en-US"/>
        </w:rPr>
      </w:pPr>
      <w:r>
        <w:rPr>
          <w:rFonts w:ascii="Century Gothic" w:hAnsi="Century Gothic"/>
          <w:sz w:val="20"/>
          <w:szCs w:val="20"/>
        </w:rPr>
        <w:t xml:space="preserve">NIC hopes this review is an opportunity to find practical and mutually-agreeable ways forward, </w:t>
      </w:r>
      <w:r w:rsidR="00915396">
        <w:rPr>
          <w:rFonts w:ascii="Century Gothic" w:hAnsi="Century Gothic"/>
          <w:sz w:val="20"/>
          <w:szCs w:val="20"/>
        </w:rPr>
        <w:t xml:space="preserve">and </w:t>
      </w:r>
      <w:r>
        <w:rPr>
          <w:rFonts w:ascii="Century Gothic" w:hAnsi="Century Gothic"/>
          <w:sz w:val="20"/>
          <w:szCs w:val="20"/>
        </w:rPr>
        <w:t xml:space="preserve">particularly for the purposes of this consultation, </w:t>
      </w:r>
      <w:r w:rsidR="00915396">
        <w:rPr>
          <w:rFonts w:ascii="Century Gothic" w:hAnsi="Century Gothic"/>
          <w:sz w:val="20"/>
          <w:szCs w:val="20"/>
        </w:rPr>
        <w:t xml:space="preserve">both </w:t>
      </w:r>
      <w:r>
        <w:rPr>
          <w:rFonts w:ascii="Century Gothic" w:hAnsi="Century Gothic"/>
          <w:sz w:val="20"/>
          <w:szCs w:val="20"/>
        </w:rPr>
        <w:t>First Nations communities</w:t>
      </w:r>
      <w:r w:rsidR="00915396">
        <w:rPr>
          <w:rFonts w:ascii="Century Gothic" w:hAnsi="Century Gothic"/>
          <w:sz w:val="20"/>
          <w:szCs w:val="20"/>
        </w:rPr>
        <w:t xml:space="preserve"> and all stakeholders</w:t>
      </w:r>
      <w:r>
        <w:rPr>
          <w:rFonts w:ascii="Century Gothic" w:hAnsi="Century Gothic"/>
          <w:sz w:val="20"/>
          <w:szCs w:val="20"/>
        </w:rPr>
        <w:t xml:space="preserve">. </w:t>
      </w:r>
    </w:p>
    <w:p w14:paraId="09BE89BD" w14:textId="0882FA01" w:rsidR="006E7865" w:rsidRPr="00751099" w:rsidRDefault="005B4DE8" w:rsidP="00900C17">
      <w:pPr>
        <w:pStyle w:val="Heading1"/>
        <w:rPr>
          <w:rFonts w:ascii="Century Gothic" w:hAnsi="Century Gothic"/>
          <w:sz w:val="36"/>
          <w:szCs w:val="36"/>
          <w:lang w:val="en-US"/>
        </w:rPr>
      </w:pPr>
      <w:bookmarkStart w:id="26" w:name="_Toc233372743"/>
      <w:r w:rsidRPr="00751099">
        <w:rPr>
          <w:rFonts w:ascii="Century Gothic" w:hAnsi="Century Gothic"/>
          <w:sz w:val="36"/>
          <w:szCs w:val="36"/>
          <w:lang w:val="en-US"/>
        </w:rPr>
        <w:t>Contact</w:t>
      </w:r>
      <w:bookmarkEnd w:id="26"/>
    </w:p>
    <w:p w14:paraId="4D14F360" w14:textId="040E744F" w:rsidR="005B4DE8" w:rsidRPr="00751099" w:rsidRDefault="005B4DE8" w:rsidP="00E44E25">
      <w:pPr>
        <w:jc w:val="both"/>
        <w:rPr>
          <w:rFonts w:ascii="Century Gothic" w:hAnsi="Century Gothic"/>
          <w:sz w:val="20"/>
          <w:szCs w:val="20"/>
          <w:lang w:val="en-US"/>
        </w:rPr>
      </w:pPr>
      <w:r w:rsidRPr="00751099">
        <w:rPr>
          <w:rFonts w:ascii="Century Gothic" w:hAnsi="Century Gothic"/>
          <w:sz w:val="20"/>
          <w:szCs w:val="20"/>
          <w:lang w:val="en-US"/>
        </w:rPr>
        <w:t>Zara Lowien</w:t>
      </w:r>
      <w:r w:rsidR="008F3EB4" w:rsidRPr="00751099">
        <w:rPr>
          <w:rFonts w:ascii="Century Gothic" w:hAnsi="Century Gothic"/>
          <w:sz w:val="20"/>
          <w:szCs w:val="20"/>
          <w:lang w:val="en-US"/>
        </w:rPr>
        <w:t xml:space="preserve"> | </w:t>
      </w:r>
      <w:r w:rsidRPr="00751099">
        <w:rPr>
          <w:rFonts w:ascii="Century Gothic" w:hAnsi="Century Gothic"/>
          <w:sz w:val="20"/>
          <w:szCs w:val="20"/>
          <w:lang w:val="en-US"/>
        </w:rPr>
        <w:t>CEO</w:t>
      </w:r>
      <w:r w:rsidR="006E7865" w:rsidRPr="00751099">
        <w:rPr>
          <w:rFonts w:ascii="Century Gothic" w:hAnsi="Century Gothic"/>
          <w:sz w:val="20"/>
          <w:szCs w:val="20"/>
          <w:lang w:val="en-US"/>
        </w:rPr>
        <w:t xml:space="preserve"> | </w:t>
      </w:r>
      <w:r w:rsidRPr="00751099">
        <w:rPr>
          <w:rFonts w:ascii="Century Gothic" w:hAnsi="Century Gothic"/>
          <w:sz w:val="20"/>
          <w:szCs w:val="20"/>
          <w:lang w:val="en-US"/>
        </w:rPr>
        <w:t xml:space="preserve">National Irrigators’ Council </w:t>
      </w:r>
    </w:p>
    <w:p w14:paraId="2519BAC9" w14:textId="3F6C93DE" w:rsidR="006A6975" w:rsidRPr="00751099" w:rsidRDefault="006E7865" w:rsidP="00781832">
      <w:pPr>
        <w:jc w:val="both"/>
        <w:rPr>
          <w:rFonts w:ascii="Century Gothic" w:hAnsi="Century Gothic"/>
          <w:sz w:val="20"/>
          <w:szCs w:val="20"/>
        </w:rPr>
      </w:pPr>
      <w:r w:rsidRPr="00751099">
        <w:rPr>
          <w:rFonts w:ascii="Century Gothic" w:hAnsi="Century Gothic"/>
          <w:color w:val="000000" w:themeColor="text1"/>
          <w:sz w:val="20"/>
          <w:szCs w:val="20"/>
          <w:lang w:val="en-US"/>
        </w:rPr>
        <w:t xml:space="preserve">E: </w:t>
      </w:r>
      <w:hyperlink r:id="rId25" w:history="1">
        <w:r w:rsidRPr="00751099">
          <w:rPr>
            <w:rStyle w:val="Hyperlink"/>
            <w:rFonts w:ascii="Century Gothic" w:hAnsi="Century Gothic"/>
            <w:color w:val="000000" w:themeColor="text1"/>
            <w:sz w:val="20"/>
            <w:szCs w:val="20"/>
            <w:lang w:val="en-US"/>
          </w:rPr>
          <w:t>ceo@irrigators.org.au</w:t>
        </w:r>
      </w:hyperlink>
    </w:p>
    <w:sectPr w:rsidR="006A6975" w:rsidRPr="00751099" w:rsidSect="00781832">
      <w:headerReference w:type="default" r:id="rId26"/>
      <w:footerReference w:type="default" r:id="rId27"/>
      <w:headerReference w:type="first" r:id="rId28"/>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 w:author="Zara Lowien" w:date="2026-06-26T10:51:00Z" w:initials="ZL">
    <w:p w14:paraId="7C62AA34" w14:textId="3EEF8668" w:rsidR="0065707B" w:rsidRDefault="0065707B" w:rsidP="0065707B">
      <w:pPr>
        <w:pStyle w:val="CommentText"/>
      </w:pPr>
      <w:r>
        <w:rPr>
          <w:rStyle w:val="CommentReference"/>
        </w:rPr>
        <w:annotationRef/>
      </w:r>
      <w:r>
        <w:fldChar w:fldCharType="begin"/>
      </w:r>
      <w:r>
        <w:instrText>HYPERLINK "mailto:christine@irrigators.org.au"</w:instrText>
      </w:r>
      <w:bookmarkStart w:id="15" w:name="_@_CB92165835F449C083A7F5051EFAE4A5Z"/>
      <w:r>
        <w:fldChar w:fldCharType="separate"/>
      </w:r>
      <w:bookmarkEnd w:id="15"/>
      <w:r w:rsidRPr="0065707B">
        <w:rPr>
          <w:rStyle w:val="Mention"/>
          <w:noProof/>
        </w:rPr>
        <w:t>@Christine  Freak</w:t>
      </w:r>
      <w:r>
        <w:fldChar w:fldCharType="end"/>
      </w:r>
      <w:r>
        <w:t xml:space="preserve"> I wonder if we should go a bit stronger on the need for a coordinated, all of government response not just the Water Act - is there examples that we link in other areas to say, what about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C62AA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C16CD78" w16cex:dateUtc="2026-06-26T0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C62AA34" w16cid:durableId="1C16CD7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B4877" w14:textId="77777777" w:rsidR="009E03EF" w:rsidRPr="009C2DA8" w:rsidRDefault="009E03EF" w:rsidP="007F4E7F">
      <w:pPr>
        <w:spacing w:after="0" w:line="240" w:lineRule="auto"/>
      </w:pPr>
      <w:r w:rsidRPr="009C2DA8">
        <w:separator/>
      </w:r>
    </w:p>
  </w:endnote>
  <w:endnote w:type="continuationSeparator" w:id="0">
    <w:p w14:paraId="593B1350" w14:textId="77777777" w:rsidR="009E03EF" w:rsidRPr="009C2DA8" w:rsidRDefault="009E03EF" w:rsidP="007F4E7F">
      <w:pPr>
        <w:spacing w:after="0" w:line="240" w:lineRule="auto"/>
      </w:pPr>
      <w:r w:rsidRPr="009C2D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altName w:val="Calibri"/>
    <w:panose1 w:val="020B05020202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6BB54" w14:textId="0FB73A89" w:rsidR="00B6277B" w:rsidRDefault="00131D1A">
    <w:pPr>
      <w:pStyle w:val="Footer"/>
    </w:pPr>
    <w:r>
      <w:rPr>
        <w:noProof/>
      </w:rPr>
      <w:drawing>
        <wp:anchor distT="0" distB="0" distL="114300" distR="114300" simplePos="0" relativeHeight="251658240" behindDoc="1" locked="0" layoutInCell="1" allowOverlap="1" wp14:anchorId="73218C35" wp14:editId="79E3A2A3">
          <wp:simplePos x="0" y="0"/>
          <wp:positionH relativeFrom="column">
            <wp:posOffset>5457825</wp:posOffset>
          </wp:positionH>
          <wp:positionV relativeFrom="paragraph">
            <wp:posOffset>-138430</wp:posOffset>
          </wp:positionV>
          <wp:extent cx="314325" cy="276860"/>
          <wp:effectExtent l="0" t="0" r="9525" b="8890"/>
          <wp:wrapTight wrapText="bothSides">
            <wp:wrapPolygon edited="0">
              <wp:start x="6545" y="0"/>
              <wp:lineTo x="0" y="7431"/>
              <wp:lineTo x="0" y="19321"/>
              <wp:lineTo x="13091" y="20807"/>
              <wp:lineTo x="20945" y="20807"/>
              <wp:lineTo x="20945" y="8917"/>
              <wp:lineTo x="18327" y="0"/>
              <wp:lineTo x="6545" y="0"/>
            </wp:wrapPolygon>
          </wp:wrapTight>
          <wp:docPr id="3032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574" name="Picture 3032574"/>
                  <pic:cNvPicPr/>
                </pic:nvPicPr>
                <pic:blipFill>
                  <a:blip r:embed="rId1">
                    <a:extLst>
                      <a:ext uri="{28A0092B-C50C-407E-A947-70E740481C1C}">
                        <a14:useLocalDpi xmlns:a14="http://schemas.microsoft.com/office/drawing/2010/main" val="0"/>
                      </a:ext>
                    </a:extLst>
                  </a:blip>
                  <a:stretch>
                    <a:fillRect/>
                  </a:stretch>
                </pic:blipFill>
                <pic:spPr>
                  <a:xfrm>
                    <a:off x="0" y="0"/>
                    <a:ext cx="314325" cy="276860"/>
                  </a:xfrm>
                  <a:prstGeom prst="rect">
                    <a:avLst/>
                  </a:prstGeom>
                </pic:spPr>
              </pic:pic>
            </a:graphicData>
          </a:graphic>
          <wp14:sizeRelH relativeFrom="page">
            <wp14:pctWidth>0</wp14:pctWidth>
          </wp14:sizeRelH>
          <wp14:sizeRelV relativeFrom="page">
            <wp14:pctHeight>0</wp14:pctHeight>
          </wp14:sizeRelV>
        </wp:anchor>
      </w:drawing>
    </w:r>
    <w:r w:rsidR="00B6277B">
      <w:t xml:space="preserve">Page </w:t>
    </w:r>
    <w:sdt>
      <w:sdtPr>
        <w:id w:val="-1157681025"/>
        <w:docPartObj>
          <w:docPartGallery w:val="Page Numbers (Bottom of Page)"/>
          <w:docPartUnique/>
        </w:docPartObj>
      </w:sdtPr>
      <w:sdtEndPr>
        <w:rPr>
          <w:noProof/>
        </w:rPr>
      </w:sdtEndPr>
      <w:sdtContent>
        <w:r w:rsidR="00B6277B">
          <w:fldChar w:fldCharType="begin"/>
        </w:r>
        <w:r w:rsidR="00B6277B">
          <w:instrText xml:space="preserve"> PAGE   \* MERGEFORMAT </w:instrText>
        </w:r>
        <w:r w:rsidR="00B6277B">
          <w:fldChar w:fldCharType="separate"/>
        </w:r>
        <w:r w:rsidR="00B6277B">
          <w:rPr>
            <w:noProof/>
          </w:rPr>
          <w:t>2</w:t>
        </w:r>
        <w:r w:rsidR="00B6277B">
          <w:rPr>
            <w:noProof/>
          </w:rPr>
          <w:fldChar w:fldCharType="end"/>
        </w:r>
      </w:sdtContent>
    </w:sdt>
  </w:p>
  <w:p w14:paraId="68C153F3" w14:textId="77777777" w:rsidR="009D00ED" w:rsidRDefault="009D00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51DF2" w14:textId="77777777" w:rsidR="009E03EF" w:rsidRPr="009C2DA8" w:rsidRDefault="009E03EF" w:rsidP="007F4E7F">
      <w:pPr>
        <w:spacing w:after="0" w:line="240" w:lineRule="auto"/>
      </w:pPr>
      <w:r w:rsidRPr="009C2DA8">
        <w:separator/>
      </w:r>
    </w:p>
  </w:footnote>
  <w:footnote w:type="continuationSeparator" w:id="0">
    <w:p w14:paraId="1F315B74" w14:textId="77777777" w:rsidR="009E03EF" w:rsidRPr="009C2DA8" w:rsidRDefault="009E03EF" w:rsidP="007F4E7F">
      <w:pPr>
        <w:spacing w:after="0" w:line="240" w:lineRule="auto"/>
      </w:pPr>
      <w:r w:rsidRPr="009C2DA8">
        <w:continuationSeparator/>
      </w:r>
    </w:p>
  </w:footnote>
  <w:footnote w:id="1">
    <w:p w14:paraId="3A97C10D" w14:textId="168B75F7" w:rsidR="00032468" w:rsidRPr="00032468" w:rsidRDefault="00032468">
      <w:pPr>
        <w:pStyle w:val="FootnoteText"/>
        <w:rPr>
          <w:lang w:val="en-US"/>
        </w:rPr>
      </w:pPr>
      <w:r>
        <w:rPr>
          <w:rStyle w:val="FootnoteReference"/>
        </w:rPr>
        <w:footnoteRef/>
      </w:r>
      <w:r>
        <w:t xml:space="preserve"> </w:t>
      </w:r>
      <w:hyperlink r:id="rId1" w:history="1">
        <w:r w:rsidRPr="00032468">
          <w:rPr>
            <w:rStyle w:val="Hyperlink"/>
          </w:rPr>
          <w:t>Strong Voices, Healthy Waters: upholding Aboriginal and Torres Strait Islander peoples’ water rights through the review of the Water Act 2007 (Cth).</w:t>
        </w:r>
      </w:hyperlink>
      <w:r>
        <w:t xml:space="preserve"> </w:t>
      </w:r>
    </w:p>
  </w:footnote>
  <w:footnote w:id="2">
    <w:p w14:paraId="4ED75DB7" w14:textId="77777777" w:rsidR="009D61DE" w:rsidRDefault="009D61DE" w:rsidP="009D61DE">
      <w:pPr>
        <w:pStyle w:val="FootnoteText"/>
      </w:pPr>
      <w:r>
        <w:rPr>
          <w:rStyle w:val="FootnoteReference"/>
        </w:rPr>
        <w:footnoteRef/>
      </w:r>
      <w:r>
        <w:t xml:space="preserve"> </w:t>
      </w:r>
      <w:hyperlink r:id="rId2" w:history="1">
        <w:r w:rsidRPr="00963996">
          <w:rPr>
            <w:rStyle w:val="Hyperlink"/>
          </w:rPr>
          <w:t>First Nations environmental water guidance | Murray–Darling Basin Authority</w:t>
        </w:r>
      </w:hyperlink>
      <w:r>
        <w:t xml:space="preserve"> </w:t>
      </w:r>
    </w:p>
  </w:footnote>
  <w:footnote w:id="3">
    <w:p w14:paraId="37331BC2" w14:textId="77777777" w:rsidR="009D61DE" w:rsidRDefault="009D61DE" w:rsidP="009D61DE">
      <w:pPr>
        <w:pStyle w:val="FootnoteText"/>
      </w:pPr>
      <w:r>
        <w:rPr>
          <w:rStyle w:val="FootnoteReference"/>
        </w:rPr>
        <w:footnoteRef/>
      </w:r>
      <w:r>
        <w:t xml:space="preserve"> </w:t>
      </w:r>
      <w:hyperlink r:id="rId3" w:history="1">
        <w:r w:rsidRPr="00162A9E">
          <w:rPr>
            <w:rStyle w:val="Hyperlink"/>
          </w:rPr>
          <w:t>National Cultural Flows - Home</w:t>
        </w:r>
      </w:hyperlink>
      <w:r>
        <w:t xml:space="preserve"> </w:t>
      </w:r>
    </w:p>
  </w:footnote>
  <w:footnote w:id="4">
    <w:p w14:paraId="1A124A3E" w14:textId="2BC902C0" w:rsidR="00E469B1" w:rsidRDefault="00E469B1">
      <w:pPr>
        <w:pStyle w:val="FootnoteText"/>
      </w:pPr>
      <w:r>
        <w:rPr>
          <w:rStyle w:val="FootnoteReference"/>
        </w:rPr>
        <w:footnoteRef/>
      </w:r>
      <w:r>
        <w:t xml:space="preserve"> </w:t>
      </w:r>
      <w:hyperlink r:id="rId4" w:history="1">
        <w:r w:rsidRPr="00E469B1">
          <w:rPr>
            <w:rStyle w:val="Hyperlink"/>
          </w:rPr>
          <w:t>seftons-report-september-2020.pdf</w:t>
        </w:r>
      </w:hyperlink>
      <w:r>
        <w:t xml:space="preserve"> </w:t>
      </w:r>
    </w:p>
  </w:footnote>
  <w:footnote w:id="5">
    <w:p w14:paraId="20928534" w14:textId="45EDB47B" w:rsidR="00F54F3F" w:rsidRDefault="00F54F3F">
      <w:pPr>
        <w:pStyle w:val="FootnoteText"/>
      </w:pPr>
      <w:r>
        <w:rPr>
          <w:rStyle w:val="FootnoteReference"/>
        </w:rPr>
        <w:footnoteRef/>
      </w:r>
      <w:r>
        <w:t xml:space="preserve"> </w:t>
      </w:r>
      <w:hyperlink r:id="rId5" w:history="1">
        <w:r w:rsidR="006908C2" w:rsidRPr="006908C2">
          <w:rPr>
            <w:rStyle w:val="Hyperlink"/>
          </w:rPr>
          <w:t>Submission 79 - Bourke Shire Council - Murray-Darling Basin Plan: Implementation Review 2023 - Public inquiry</w:t>
        </w:r>
      </w:hyperlink>
      <w:r w:rsidR="006908C2">
        <w:t xml:space="preserve"> </w:t>
      </w:r>
    </w:p>
  </w:footnote>
  <w:footnote w:id="6">
    <w:p w14:paraId="3F5A20AF" w14:textId="7B70A641" w:rsidR="00DB4171" w:rsidRDefault="00DB4171">
      <w:pPr>
        <w:pStyle w:val="FootnoteText"/>
      </w:pPr>
      <w:r>
        <w:rPr>
          <w:rStyle w:val="FootnoteReference"/>
        </w:rPr>
        <w:footnoteRef/>
      </w:r>
      <w:r>
        <w:t xml:space="preserve"> </w:t>
      </w:r>
      <w:hyperlink r:id="rId6" w:history="1">
        <w:r w:rsidRPr="00DB4171">
          <w:rPr>
            <w:rStyle w:val="Hyperlink"/>
          </w:rPr>
          <w:t>Submission 79 - Bourke Shire Council - Murray-Darling Basin Plan: Implementation Review 2023 - Public inquiry</w:t>
        </w:r>
      </w:hyperlink>
      <w:r>
        <w:t xml:space="preserve"> </w:t>
      </w:r>
    </w:p>
  </w:footnote>
  <w:footnote w:id="7">
    <w:p w14:paraId="1CDD10BB" w14:textId="77777777" w:rsidR="009D61DE" w:rsidRDefault="009D61DE" w:rsidP="009D61DE">
      <w:pPr>
        <w:pStyle w:val="FootnoteText"/>
      </w:pPr>
      <w:r>
        <w:rPr>
          <w:rStyle w:val="FootnoteReference"/>
        </w:rPr>
        <w:footnoteRef/>
      </w:r>
      <w:r>
        <w:t xml:space="preserve"> </w:t>
      </w:r>
      <w:hyperlink r:id="rId7" w:history="1">
        <w:r w:rsidRPr="0000588F">
          <w:rPr>
            <w:rStyle w:val="Hyperlink"/>
          </w:rPr>
          <w:t>Indigenous Partnerships Program | Murray–Darling Basin Authority</w:t>
        </w:r>
      </w:hyperlink>
      <w:r>
        <w:t xml:space="preserve">; </w:t>
      </w:r>
      <w:hyperlink r:id="rId8" w:history="1">
        <w:r w:rsidRPr="00381ADB">
          <w:rPr>
            <w:rStyle w:val="Hyperlink"/>
          </w:rPr>
          <w:t>The Living Murray story | Murray–Darling Basin Authority</w:t>
        </w:r>
      </w:hyperlink>
      <w:r>
        <w:t xml:space="preserve"> </w:t>
      </w:r>
    </w:p>
  </w:footnote>
  <w:footnote w:id="8">
    <w:p w14:paraId="67D7A7FA" w14:textId="77777777" w:rsidR="009D61DE" w:rsidRDefault="009D61DE" w:rsidP="009D61DE">
      <w:pPr>
        <w:pStyle w:val="FootnoteText"/>
      </w:pPr>
      <w:r>
        <w:rPr>
          <w:rStyle w:val="FootnoteReference"/>
        </w:rPr>
        <w:footnoteRef/>
      </w:r>
      <w:r>
        <w:t xml:space="preserve"> </w:t>
      </w:r>
      <w:hyperlink r:id="rId9" w:history="1">
        <w:r w:rsidRPr="00A51860">
          <w:rPr>
            <w:rStyle w:val="Hyperlink"/>
          </w:rPr>
          <w:t>Stories of First Nations delivering benefits to Country and communities | Murray–Darling Basin Authority</w:t>
        </w:r>
      </w:hyperlink>
      <w:r>
        <w:t xml:space="preserve"> </w:t>
      </w:r>
    </w:p>
  </w:footnote>
  <w:footnote w:id="9">
    <w:p w14:paraId="57541E0D" w14:textId="77777777" w:rsidR="009D61DE" w:rsidRDefault="009D61DE" w:rsidP="009D61DE">
      <w:pPr>
        <w:pStyle w:val="FootnoteText"/>
      </w:pPr>
      <w:r>
        <w:rPr>
          <w:rStyle w:val="FootnoteReference"/>
        </w:rPr>
        <w:footnoteRef/>
      </w:r>
      <w:r>
        <w:t xml:space="preserve"> </w:t>
      </w:r>
      <w:hyperlink r:id="rId10" w:history="1">
        <w:r w:rsidRPr="001A014A">
          <w:rPr>
            <w:rStyle w:val="Hyperlink"/>
          </w:rPr>
          <w:t>rivers-the-veins-of-our-country-2020-21.pdf</w:t>
        </w:r>
      </w:hyperlink>
      <w:r>
        <w:t xml:space="preserve"> </w:t>
      </w:r>
    </w:p>
  </w:footnote>
  <w:footnote w:id="10">
    <w:p w14:paraId="5111B8B5" w14:textId="77777777" w:rsidR="009D61DE" w:rsidRDefault="009D61DE" w:rsidP="009D61DE">
      <w:pPr>
        <w:pStyle w:val="FootnoteText"/>
      </w:pPr>
      <w:r>
        <w:rPr>
          <w:rStyle w:val="FootnoteReference"/>
        </w:rPr>
        <w:footnoteRef/>
      </w:r>
      <w:r>
        <w:t xml:space="preserve"> </w:t>
      </w:r>
      <w:hyperlink r:id="rId11" w:history="1">
        <w:r w:rsidRPr="00BC5174">
          <w:rPr>
            <w:rStyle w:val="Hyperlink"/>
          </w:rPr>
          <w:t>rivers-the-veins-of-our-country-2020-21.pdf</w:t>
        </w:r>
      </w:hyperlink>
      <w:r>
        <w:t xml:space="preserve"> </w:t>
      </w:r>
    </w:p>
  </w:footnote>
  <w:footnote w:id="11">
    <w:p w14:paraId="235F76AE" w14:textId="09289E2E" w:rsidR="00E87142" w:rsidRDefault="00E87142">
      <w:pPr>
        <w:pStyle w:val="FootnoteText"/>
      </w:pPr>
      <w:r>
        <w:rPr>
          <w:rStyle w:val="FootnoteReference"/>
        </w:rPr>
        <w:footnoteRef/>
      </w:r>
      <w:r>
        <w:t xml:space="preserve"> </w:t>
      </w:r>
      <w:hyperlink r:id="rId12" w:history="1">
        <w:r w:rsidRPr="005C46FA">
          <w:rPr>
            <w:rStyle w:val="Hyperlink"/>
          </w:rPr>
          <w:t>https://www.dcceew.gov.au/water/policy/first-nations/aboriginal-water-entitlements-program</w:t>
        </w:r>
      </w:hyperlink>
      <w:r>
        <w:t xml:space="preserve"> </w:t>
      </w:r>
    </w:p>
  </w:footnote>
  <w:footnote w:id="12">
    <w:p w14:paraId="50A888FA" w14:textId="54BFA653" w:rsidR="006045BB" w:rsidRDefault="006045BB">
      <w:pPr>
        <w:pStyle w:val="FootnoteText"/>
      </w:pPr>
      <w:r>
        <w:rPr>
          <w:rStyle w:val="FootnoteReference"/>
        </w:rPr>
        <w:footnoteRef/>
      </w:r>
      <w:r>
        <w:t xml:space="preserve"> </w:t>
      </w:r>
      <w:hyperlink r:id="rId13" w:history="1">
        <w:r w:rsidRPr="005C46FA">
          <w:rPr>
            <w:rStyle w:val="Hyperlink"/>
          </w:rPr>
          <w:t>https://www.dcceew.gov.au/water/policy/first-nations/aboriginal-water-entitlements-program/temporary-water-trading</w:t>
        </w:r>
      </w:hyperlink>
      <w:r>
        <w:t xml:space="preserve"> </w:t>
      </w:r>
    </w:p>
  </w:footnote>
  <w:footnote w:id="13">
    <w:p w14:paraId="2EEED589" w14:textId="76ED0587" w:rsidR="00030567" w:rsidRDefault="00030567">
      <w:pPr>
        <w:pStyle w:val="FootnoteText"/>
      </w:pPr>
      <w:r>
        <w:rPr>
          <w:rStyle w:val="FootnoteReference"/>
        </w:rPr>
        <w:footnoteRef/>
      </w:r>
      <w:r>
        <w:t xml:space="preserve"> </w:t>
      </w:r>
      <w:hyperlink r:id="rId14" w:history="1">
        <w:r w:rsidRPr="005C46FA">
          <w:rPr>
            <w:rStyle w:val="Hyperlink"/>
          </w:rPr>
          <w:t>https://www.dcceew.gov.au/sites/default/files/documents/awep-temporary-trading-strategy.pdf</w:t>
        </w:r>
      </w:hyperlink>
      <w:r>
        <w:t xml:space="preserve"> </w:t>
      </w:r>
    </w:p>
  </w:footnote>
  <w:footnote w:id="14">
    <w:p w14:paraId="7FD80384" w14:textId="7D38304E" w:rsidR="00BB186B" w:rsidRDefault="00BB186B">
      <w:pPr>
        <w:pStyle w:val="FootnoteText"/>
      </w:pPr>
      <w:r>
        <w:rPr>
          <w:rStyle w:val="FootnoteReference"/>
        </w:rPr>
        <w:footnoteRef/>
      </w:r>
      <w:r>
        <w:t xml:space="preserve"> </w:t>
      </w:r>
      <w:hyperlink r:id="rId15" w:history="1">
        <w:r w:rsidRPr="00BB186B">
          <w:rPr>
            <w:rStyle w:val="Hyperlink"/>
          </w:rPr>
          <w:t>Interim governance of the Murray–Darling Basin Aboriginal Water Entitlements Program - DCCEEW</w:t>
        </w:r>
      </w:hyperlink>
      <w:r>
        <w:t xml:space="preserve"> </w:t>
      </w:r>
    </w:p>
  </w:footnote>
  <w:footnote w:id="15">
    <w:p w14:paraId="0D75BDDA" w14:textId="163E7C7E" w:rsidR="00AE54E5" w:rsidRDefault="00AE54E5">
      <w:pPr>
        <w:pStyle w:val="FootnoteText"/>
      </w:pPr>
      <w:r>
        <w:rPr>
          <w:rStyle w:val="FootnoteReference"/>
        </w:rPr>
        <w:footnoteRef/>
      </w:r>
      <w:r>
        <w:t xml:space="preserve"> </w:t>
      </w:r>
      <w:hyperlink r:id="rId16" w:history="1">
        <w:r w:rsidRPr="00AE54E5">
          <w:rPr>
            <w:rStyle w:val="Hyperlink"/>
          </w:rPr>
          <w:t>Interim Report: Draft Governance Models</w:t>
        </w:r>
      </w:hyperlink>
      <w:r>
        <w:t xml:space="preserve"> </w:t>
      </w:r>
    </w:p>
  </w:footnote>
  <w:footnote w:id="16">
    <w:p w14:paraId="153B270A" w14:textId="22413F1C" w:rsidR="00FB154B" w:rsidRDefault="00FB154B">
      <w:pPr>
        <w:pStyle w:val="FootnoteText"/>
      </w:pPr>
      <w:r>
        <w:rPr>
          <w:rStyle w:val="FootnoteReference"/>
        </w:rPr>
        <w:footnoteRef/>
      </w:r>
      <w:r>
        <w:t xml:space="preserve"> </w:t>
      </w:r>
      <w:hyperlink r:id="rId17" w:history="1">
        <w:r w:rsidR="00D568EB" w:rsidRPr="00D568EB">
          <w:rPr>
            <w:rStyle w:val="Hyperlink"/>
          </w:rPr>
          <w:t>Murray-Darling Basin Authority ends contracts with First Nations advisory in northern basin - ABC News</w:t>
        </w:r>
      </w:hyperlink>
      <w:r w:rsidR="00D568E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A0485" w14:textId="126FF3F3" w:rsidR="00B6277B" w:rsidRDefault="00B6277B" w:rsidP="00A93616">
    <w:pPr>
      <w:pStyle w:val="Header"/>
      <w:jc w:val="center"/>
    </w:pPr>
  </w:p>
  <w:p w14:paraId="5F982C9E" w14:textId="41AB6130" w:rsidR="007F4E7F" w:rsidRPr="009C2DA8" w:rsidRDefault="007F4E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E1A65" w14:textId="6B373082" w:rsidR="009D00ED" w:rsidRDefault="009D00ED" w:rsidP="009D00E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DAC94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4B852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864261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3BEB0C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CDC4A3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96C50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C449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AC66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0DC7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F46B08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D38D3"/>
    <w:multiLevelType w:val="hybridMultilevel"/>
    <w:tmpl w:val="4DCC0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E93A6D"/>
    <w:multiLevelType w:val="hybridMultilevel"/>
    <w:tmpl w:val="41B8C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F96908"/>
    <w:multiLevelType w:val="hybridMultilevel"/>
    <w:tmpl w:val="48485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8A0DDC"/>
    <w:multiLevelType w:val="hybridMultilevel"/>
    <w:tmpl w:val="B2FAC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C23F47"/>
    <w:multiLevelType w:val="hybridMultilevel"/>
    <w:tmpl w:val="AA3C4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DE2FCB"/>
    <w:multiLevelType w:val="hybridMultilevel"/>
    <w:tmpl w:val="90881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2108F6"/>
    <w:multiLevelType w:val="multilevel"/>
    <w:tmpl w:val="D0D4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0022223"/>
    <w:multiLevelType w:val="hybridMultilevel"/>
    <w:tmpl w:val="B77A7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5C4AC1"/>
    <w:multiLevelType w:val="hybridMultilevel"/>
    <w:tmpl w:val="44D40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8C7CDD"/>
    <w:multiLevelType w:val="hybridMultilevel"/>
    <w:tmpl w:val="DA3E0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A537F0"/>
    <w:multiLevelType w:val="hybridMultilevel"/>
    <w:tmpl w:val="90DA6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5737DD"/>
    <w:multiLevelType w:val="hybridMultilevel"/>
    <w:tmpl w:val="9BC07DDA"/>
    <w:lvl w:ilvl="0" w:tplc="FFFFFFFF">
      <w:start w:val="1"/>
      <w:numFmt w:val="lowerLetter"/>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107088F"/>
    <w:multiLevelType w:val="hybridMultilevel"/>
    <w:tmpl w:val="184EB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DB0CF7"/>
    <w:multiLevelType w:val="hybridMultilevel"/>
    <w:tmpl w:val="158292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5F665FF"/>
    <w:multiLevelType w:val="hybridMultilevel"/>
    <w:tmpl w:val="7280F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7D17C0E"/>
    <w:multiLevelType w:val="hybridMultilevel"/>
    <w:tmpl w:val="DB76BC82"/>
    <w:lvl w:ilvl="0" w:tplc="39E0C054">
      <w:start w:val="1"/>
      <w:numFmt w:val="bullet"/>
      <w:lvlText w:val="•"/>
      <w:lvlJc w:val="left"/>
      <w:pPr>
        <w:tabs>
          <w:tab w:val="num" w:pos="720"/>
        </w:tabs>
        <w:ind w:left="720" w:hanging="360"/>
      </w:pPr>
      <w:rPr>
        <w:rFonts w:ascii="Arial" w:hAnsi="Arial" w:hint="default"/>
      </w:rPr>
    </w:lvl>
    <w:lvl w:ilvl="1" w:tplc="091CBA28">
      <w:start w:val="1"/>
      <w:numFmt w:val="bullet"/>
      <w:lvlText w:val="•"/>
      <w:lvlJc w:val="left"/>
      <w:pPr>
        <w:tabs>
          <w:tab w:val="num" w:pos="1440"/>
        </w:tabs>
        <w:ind w:left="1440" w:hanging="360"/>
      </w:pPr>
      <w:rPr>
        <w:rFonts w:ascii="Arial" w:hAnsi="Arial" w:hint="default"/>
      </w:rPr>
    </w:lvl>
    <w:lvl w:ilvl="2" w:tplc="2D404DB6">
      <w:numFmt w:val="bullet"/>
      <w:lvlText w:val="•"/>
      <w:lvlJc w:val="left"/>
      <w:pPr>
        <w:tabs>
          <w:tab w:val="num" w:pos="2160"/>
        </w:tabs>
        <w:ind w:left="2160" w:hanging="360"/>
      </w:pPr>
      <w:rPr>
        <w:rFonts w:ascii="Arial" w:hAnsi="Arial" w:hint="default"/>
      </w:rPr>
    </w:lvl>
    <w:lvl w:ilvl="3" w:tplc="D75431C0" w:tentative="1">
      <w:start w:val="1"/>
      <w:numFmt w:val="bullet"/>
      <w:lvlText w:val="•"/>
      <w:lvlJc w:val="left"/>
      <w:pPr>
        <w:tabs>
          <w:tab w:val="num" w:pos="2880"/>
        </w:tabs>
        <w:ind w:left="2880" w:hanging="360"/>
      </w:pPr>
      <w:rPr>
        <w:rFonts w:ascii="Arial" w:hAnsi="Arial" w:hint="default"/>
      </w:rPr>
    </w:lvl>
    <w:lvl w:ilvl="4" w:tplc="20C45EC6" w:tentative="1">
      <w:start w:val="1"/>
      <w:numFmt w:val="bullet"/>
      <w:lvlText w:val="•"/>
      <w:lvlJc w:val="left"/>
      <w:pPr>
        <w:tabs>
          <w:tab w:val="num" w:pos="3600"/>
        </w:tabs>
        <w:ind w:left="3600" w:hanging="360"/>
      </w:pPr>
      <w:rPr>
        <w:rFonts w:ascii="Arial" w:hAnsi="Arial" w:hint="default"/>
      </w:rPr>
    </w:lvl>
    <w:lvl w:ilvl="5" w:tplc="58F06552" w:tentative="1">
      <w:start w:val="1"/>
      <w:numFmt w:val="bullet"/>
      <w:lvlText w:val="•"/>
      <w:lvlJc w:val="left"/>
      <w:pPr>
        <w:tabs>
          <w:tab w:val="num" w:pos="4320"/>
        </w:tabs>
        <w:ind w:left="4320" w:hanging="360"/>
      </w:pPr>
      <w:rPr>
        <w:rFonts w:ascii="Arial" w:hAnsi="Arial" w:hint="default"/>
      </w:rPr>
    </w:lvl>
    <w:lvl w:ilvl="6" w:tplc="58646AFE" w:tentative="1">
      <w:start w:val="1"/>
      <w:numFmt w:val="bullet"/>
      <w:lvlText w:val="•"/>
      <w:lvlJc w:val="left"/>
      <w:pPr>
        <w:tabs>
          <w:tab w:val="num" w:pos="5040"/>
        </w:tabs>
        <w:ind w:left="5040" w:hanging="360"/>
      </w:pPr>
      <w:rPr>
        <w:rFonts w:ascii="Arial" w:hAnsi="Arial" w:hint="default"/>
      </w:rPr>
    </w:lvl>
    <w:lvl w:ilvl="7" w:tplc="1740424C" w:tentative="1">
      <w:start w:val="1"/>
      <w:numFmt w:val="bullet"/>
      <w:lvlText w:val="•"/>
      <w:lvlJc w:val="left"/>
      <w:pPr>
        <w:tabs>
          <w:tab w:val="num" w:pos="5760"/>
        </w:tabs>
        <w:ind w:left="5760" w:hanging="360"/>
      </w:pPr>
      <w:rPr>
        <w:rFonts w:ascii="Arial" w:hAnsi="Arial" w:hint="default"/>
      </w:rPr>
    </w:lvl>
    <w:lvl w:ilvl="8" w:tplc="C41285B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B8F14D1"/>
    <w:multiLevelType w:val="hybridMultilevel"/>
    <w:tmpl w:val="9BC07DDA"/>
    <w:lvl w:ilvl="0" w:tplc="C9043C88">
      <w:start w:val="1"/>
      <w:numFmt w:val="lowerLetter"/>
      <w:lvlText w:val="(%1)"/>
      <w:lvlJc w:val="left"/>
      <w:pPr>
        <w:tabs>
          <w:tab w:val="num" w:pos="720"/>
        </w:tabs>
        <w:ind w:left="720" w:hanging="360"/>
      </w:pPr>
      <w:rPr>
        <w:rFonts w:hint="default"/>
      </w:rPr>
    </w:lvl>
    <w:lvl w:ilvl="1" w:tplc="445AC74A" w:tentative="1">
      <w:start w:val="1"/>
      <w:numFmt w:val="bullet"/>
      <w:lvlText w:val="•"/>
      <w:lvlJc w:val="left"/>
      <w:pPr>
        <w:tabs>
          <w:tab w:val="num" w:pos="1440"/>
        </w:tabs>
        <w:ind w:left="1440" w:hanging="360"/>
      </w:pPr>
      <w:rPr>
        <w:rFonts w:ascii="Arial" w:hAnsi="Arial" w:hint="default"/>
      </w:rPr>
    </w:lvl>
    <w:lvl w:ilvl="2" w:tplc="F3BAD21C" w:tentative="1">
      <w:start w:val="1"/>
      <w:numFmt w:val="bullet"/>
      <w:lvlText w:val="•"/>
      <w:lvlJc w:val="left"/>
      <w:pPr>
        <w:tabs>
          <w:tab w:val="num" w:pos="2160"/>
        </w:tabs>
        <w:ind w:left="2160" w:hanging="360"/>
      </w:pPr>
      <w:rPr>
        <w:rFonts w:ascii="Arial" w:hAnsi="Arial" w:hint="default"/>
      </w:rPr>
    </w:lvl>
    <w:lvl w:ilvl="3" w:tplc="FDAE929A" w:tentative="1">
      <w:start w:val="1"/>
      <w:numFmt w:val="bullet"/>
      <w:lvlText w:val="•"/>
      <w:lvlJc w:val="left"/>
      <w:pPr>
        <w:tabs>
          <w:tab w:val="num" w:pos="2880"/>
        </w:tabs>
        <w:ind w:left="2880" w:hanging="360"/>
      </w:pPr>
      <w:rPr>
        <w:rFonts w:ascii="Arial" w:hAnsi="Arial" w:hint="default"/>
      </w:rPr>
    </w:lvl>
    <w:lvl w:ilvl="4" w:tplc="AB7EA0AA" w:tentative="1">
      <w:start w:val="1"/>
      <w:numFmt w:val="bullet"/>
      <w:lvlText w:val="•"/>
      <w:lvlJc w:val="left"/>
      <w:pPr>
        <w:tabs>
          <w:tab w:val="num" w:pos="3600"/>
        </w:tabs>
        <w:ind w:left="3600" w:hanging="360"/>
      </w:pPr>
      <w:rPr>
        <w:rFonts w:ascii="Arial" w:hAnsi="Arial" w:hint="default"/>
      </w:rPr>
    </w:lvl>
    <w:lvl w:ilvl="5" w:tplc="0310F6AE" w:tentative="1">
      <w:start w:val="1"/>
      <w:numFmt w:val="bullet"/>
      <w:lvlText w:val="•"/>
      <w:lvlJc w:val="left"/>
      <w:pPr>
        <w:tabs>
          <w:tab w:val="num" w:pos="4320"/>
        </w:tabs>
        <w:ind w:left="4320" w:hanging="360"/>
      </w:pPr>
      <w:rPr>
        <w:rFonts w:ascii="Arial" w:hAnsi="Arial" w:hint="default"/>
      </w:rPr>
    </w:lvl>
    <w:lvl w:ilvl="6" w:tplc="00B2F1A0" w:tentative="1">
      <w:start w:val="1"/>
      <w:numFmt w:val="bullet"/>
      <w:lvlText w:val="•"/>
      <w:lvlJc w:val="left"/>
      <w:pPr>
        <w:tabs>
          <w:tab w:val="num" w:pos="5040"/>
        </w:tabs>
        <w:ind w:left="5040" w:hanging="360"/>
      </w:pPr>
      <w:rPr>
        <w:rFonts w:ascii="Arial" w:hAnsi="Arial" w:hint="default"/>
      </w:rPr>
    </w:lvl>
    <w:lvl w:ilvl="7" w:tplc="1A2A3AA2" w:tentative="1">
      <w:start w:val="1"/>
      <w:numFmt w:val="bullet"/>
      <w:lvlText w:val="•"/>
      <w:lvlJc w:val="left"/>
      <w:pPr>
        <w:tabs>
          <w:tab w:val="num" w:pos="5760"/>
        </w:tabs>
        <w:ind w:left="5760" w:hanging="360"/>
      </w:pPr>
      <w:rPr>
        <w:rFonts w:ascii="Arial" w:hAnsi="Arial" w:hint="default"/>
      </w:rPr>
    </w:lvl>
    <w:lvl w:ilvl="8" w:tplc="B5564CF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BAB4822"/>
    <w:multiLevelType w:val="hybridMultilevel"/>
    <w:tmpl w:val="00423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BB9698D"/>
    <w:multiLevelType w:val="hybridMultilevel"/>
    <w:tmpl w:val="2F16CDCA"/>
    <w:lvl w:ilvl="0" w:tplc="C9043C8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D703F4B"/>
    <w:multiLevelType w:val="hybridMultilevel"/>
    <w:tmpl w:val="989E75DE"/>
    <w:lvl w:ilvl="0" w:tplc="A40E45C8">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A15997"/>
    <w:multiLevelType w:val="hybridMultilevel"/>
    <w:tmpl w:val="96A82D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CFA4A0E"/>
    <w:multiLevelType w:val="hybridMultilevel"/>
    <w:tmpl w:val="824873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DF57EC6"/>
    <w:multiLevelType w:val="hybridMultilevel"/>
    <w:tmpl w:val="A22E37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FD61364"/>
    <w:multiLevelType w:val="hybridMultilevel"/>
    <w:tmpl w:val="734A4716"/>
    <w:lvl w:ilvl="0" w:tplc="ABB01EB6">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E53686"/>
    <w:multiLevelType w:val="hybridMultilevel"/>
    <w:tmpl w:val="D500D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9E26CE"/>
    <w:multiLevelType w:val="hybridMultilevel"/>
    <w:tmpl w:val="C19AA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B227E0B"/>
    <w:multiLevelType w:val="hybridMultilevel"/>
    <w:tmpl w:val="A544BD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C2E2898"/>
    <w:multiLevelType w:val="hybridMultilevel"/>
    <w:tmpl w:val="F5706E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C9160B8"/>
    <w:multiLevelType w:val="hybridMultilevel"/>
    <w:tmpl w:val="600AE4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CC92733"/>
    <w:multiLevelType w:val="hybridMultilevel"/>
    <w:tmpl w:val="A5CAE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F51D42"/>
    <w:multiLevelType w:val="hybridMultilevel"/>
    <w:tmpl w:val="59AA3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2603DC"/>
    <w:multiLevelType w:val="hybridMultilevel"/>
    <w:tmpl w:val="97286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93332E"/>
    <w:multiLevelType w:val="hybridMultilevel"/>
    <w:tmpl w:val="44201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29D4DCA"/>
    <w:multiLevelType w:val="hybridMultilevel"/>
    <w:tmpl w:val="1054A7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422898"/>
    <w:multiLevelType w:val="hybridMultilevel"/>
    <w:tmpl w:val="D8E08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6957141"/>
    <w:multiLevelType w:val="hybridMultilevel"/>
    <w:tmpl w:val="522A8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E21CCB"/>
    <w:multiLevelType w:val="hybridMultilevel"/>
    <w:tmpl w:val="AA1EC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DC0C8E"/>
    <w:multiLevelType w:val="hybridMultilevel"/>
    <w:tmpl w:val="9F005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CC733E1"/>
    <w:multiLevelType w:val="hybridMultilevel"/>
    <w:tmpl w:val="1E420D64"/>
    <w:lvl w:ilvl="0" w:tplc="0614669E">
      <w:start w:val="1"/>
      <w:numFmt w:val="bullet"/>
      <w:lvlText w:val="•"/>
      <w:lvlJc w:val="left"/>
      <w:pPr>
        <w:tabs>
          <w:tab w:val="num" w:pos="720"/>
        </w:tabs>
        <w:ind w:left="720" w:hanging="360"/>
      </w:pPr>
      <w:rPr>
        <w:rFonts w:ascii="Times New Roman" w:hAnsi="Times New Roman" w:hint="default"/>
      </w:rPr>
    </w:lvl>
    <w:lvl w:ilvl="1" w:tplc="11B24944" w:tentative="1">
      <w:start w:val="1"/>
      <w:numFmt w:val="bullet"/>
      <w:lvlText w:val="•"/>
      <w:lvlJc w:val="left"/>
      <w:pPr>
        <w:tabs>
          <w:tab w:val="num" w:pos="1440"/>
        </w:tabs>
        <w:ind w:left="1440" w:hanging="360"/>
      </w:pPr>
      <w:rPr>
        <w:rFonts w:ascii="Times New Roman" w:hAnsi="Times New Roman" w:hint="default"/>
      </w:rPr>
    </w:lvl>
    <w:lvl w:ilvl="2" w:tplc="187EF8AE" w:tentative="1">
      <w:start w:val="1"/>
      <w:numFmt w:val="bullet"/>
      <w:lvlText w:val="•"/>
      <w:lvlJc w:val="left"/>
      <w:pPr>
        <w:tabs>
          <w:tab w:val="num" w:pos="2160"/>
        </w:tabs>
        <w:ind w:left="2160" w:hanging="360"/>
      </w:pPr>
      <w:rPr>
        <w:rFonts w:ascii="Times New Roman" w:hAnsi="Times New Roman" w:hint="default"/>
      </w:rPr>
    </w:lvl>
    <w:lvl w:ilvl="3" w:tplc="F146B3AA" w:tentative="1">
      <w:start w:val="1"/>
      <w:numFmt w:val="bullet"/>
      <w:lvlText w:val="•"/>
      <w:lvlJc w:val="left"/>
      <w:pPr>
        <w:tabs>
          <w:tab w:val="num" w:pos="2880"/>
        </w:tabs>
        <w:ind w:left="2880" w:hanging="360"/>
      </w:pPr>
      <w:rPr>
        <w:rFonts w:ascii="Times New Roman" w:hAnsi="Times New Roman" w:hint="default"/>
      </w:rPr>
    </w:lvl>
    <w:lvl w:ilvl="4" w:tplc="EF10FD46" w:tentative="1">
      <w:start w:val="1"/>
      <w:numFmt w:val="bullet"/>
      <w:lvlText w:val="•"/>
      <w:lvlJc w:val="left"/>
      <w:pPr>
        <w:tabs>
          <w:tab w:val="num" w:pos="3600"/>
        </w:tabs>
        <w:ind w:left="3600" w:hanging="360"/>
      </w:pPr>
      <w:rPr>
        <w:rFonts w:ascii="Times New Roman" w:hAnsi="Times New Roman" w:hint="default"/>
      </w:rPr>
    </w:lvl>
    <w:lvl w:ilvl="5" w:tplc="17487936" w:tentative="1">
      <w:start w:val="1"/>
      <w:numFmt w:val="bullet"/>
      <w:lvlText w:val="•"/>
      <w:lvlJc w:val="left"/>
      <w:pPr>
        <w:tabs>
          <w:tab w:val="num" w:pos="4320"/>
        </w:tabs>
        <w:ind w:left="4320" w:hanging="360"/>
      </w:pPr>
      <w:rPr>
        <w:rFonts w:ascii="Times New Roman" w:hAnsi="Times New Roman" w:hint="default"/>
      </w:rPr>
    </w:lvl>
    <w:lvl w:ilvl="6" w:tplc="70D066CE" w:tentative="1">
      <w:start w:val="1"/>
      <w:numFmt w:val="bullet"/>
      <w:lvlText w:val="•"/>
      <w:lvlJc w:val="left"/>
      <w:pPr>
        <w:tabs>
          <w:tab w:val="num" w:pos="5040"/>
        </w:tabs>
        <w:ind w:left="5040" w:hanging="360"/>
      </w:pPr>
      <w:rPr>
        <w:rFonts w:ascii="Times New Roman" w:hAnsi="Times New Roman" w:hint="default"/>
      </w:rPr>
    </w:lvl>
    <w:lvl w:ilvl="7" w:tplc="6BD4197E" w:tentative="1">
      <w:start w:val="1"/>
      <w:numFmt w:val="bullet"/>
      <w:lvlText w:val="•"/>
      <w:lvlJc w:val="left"/>
      <w:pPr>
        <w:tabs>
          <w:tab w:val="num" w:pos="5760"/>
        </w:tabs>
        <w:ind w:left="5760" w:hanging="360"/>
      </w:pPr>
      <w:rPr>
        <w:rFonts w:ascii="Times New Roman" w:hAnsi="Times New Roman" w:hint="default"/>
      </w:rPr>
    </w:lvl>
    <w:lvl w:ilvl="8" w:tplc="7B92181C"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7EA67F8E"/>
    <w:multiLevelType w:val="hybridMultilevel"/>
    <w:tmpl w:val="B22CF2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62268415">
    <w:abstractNumId w:val="12"/>
  </w:num>
  <w:num w:numId="2" w16cid:durableId="398408344">
    <w:abstractNumId w:val="16"/>
  </w:num>
  <w:num w:numId="3" w16cid:durableId="475147762">
    <w:abstractNumId w:val="33"/>
  </w:num>
  <w:num w:numId="4" w16cid:durableId="1884098228">
    <w:abstractNumId w:val="29"/>
  </w:num>
  <w:num w:numId="5" w16cid:durableId="1924223953">
    <w:abstractNumId w:val="31"/>
  </w:num>
  <w:num w:numId="6" w16cid:durableId="905458820">
    <w:abstractNumId w:val="47"/>
  </w:num>
  <w:num w:numId="7" w16cid:durableId="2079277661">
    <w:abstractNumId w:val="23"/>
  </w:num>
  <w:num w:numId="8" w16cid:durableId="702562950">
    <w:abstractNumId w:val="35"/>
  </w:num>
  <w:num w:numId="9" w16cid:durableId="846558531">
    <w:abstractNumId w:val="38"/>
  </w:num>
  <w:num w:numId="10" w16cid:durableId="190732392">
    <w:abstractNumId w:val="36"/>
  </w:num>
  <w:num w:numId="11" w16cid:durableId="1719235399">
    <w:abstractNumId w:val="24"/>
  </w:num>
  <w:num w:numId="12" w16cid:durableId="877625255">
    <w:abstractNumId w:val="48"/>
  </w:num>
  <w:num w:numId="13" w16cid:durableId="2015305330">
    <w:abstractNumId w:val="26"/>
  </w:num>
  <w:num w:numId="14" w16cid:durableId="1295603482">
    <w:abstractNumId w:val="25"/>
  </w:num>
  <w:num w:numId="15" w16cid:durableId="1395816917">
    <w:abstractNumId w:val="22"/>
  </w:num>
  <w:num w:numId="16" w16cid:durableId="1067921689">
    <w:abstractNumId w:val="27"/>
  </w:num>
  <w:num w:numId="17" w16cid:durableId="1713459571">
    <w:abstractNumId w:val="45"/>
  </w:num>
  <w:num w:numId="18" w16cid:durableId="650064203">
    <w:abstractNumId w:val="32"/>
  </w:num>
  <w:num w:numId="19" w16cid:durableId="244649133">
    <w:abstractNumId w:val="13"/>
  </w:num>
  <w:num w:numId="20" w16cid:durableId="1692143251">
    <w:abstractNumId w:val="30"/>
  </w:num>
  <w:num w:numId="21" w16cid:durableId="1170676055">
    <w:abstractNumId w:val="49"/>
  </w:num>
  <w:num w:numId="22" w16cid:durableId="566036562">
    <w:abstractNumId w:val="41"/>
  </w:num>
  <w:num w:numId="23" w16cid:durableId="1174880974">
    <w:abstractNumId w:val="21"/>
  </w:num>
  <w:num w:numId="24" w16cid:durableId="391121244">
    <w:abstractNumId w:val="28"/>
  </w:num>
  <w:num w:numId="25" w16cid:durableId="908080720">
    <w:abstractNumId w:val="9"/>
  </w:num>
  <w:num w:numId="26" w16cid:durableId="1276059719">
    <w:abstractNumId w:val="7"/>
  </w:num>
  <w:num w:numId="27" w16cid:durableId="463931014">
    <w:abstractNumId w:val="6"/>
  </w:num>
  <w:num w:numId="28" w16cid:durableId="33315646">
    <w:abstractNumId w:val="5"/>
  </w:num>
  <w:num w:numId="29" w16cid:durableId="1855920237">
    <w:abstractNumId w:val="4"/>
  </w:num>
  <w:num w:numId="30" w16cid:durableId="1422950305">
    <w:abstractNumId w:val="8"/>
  </w:num>
  <w:num w:numId="31" w16cid:durableId="158424618">
    <w:abstractNumId w:val="3"/>
  </w:num>
  <w:num w:numId="32" w16cid:durableId="903029462">
    <w:abstractNumId w:val="2"/>
  </w:num>
  <w:num w:numId="33" w16cid:durableId="1838301650">
    <w:abstractNumId w:val="1"/>
  </w:num>
  <w:num w:numId="34" w16cid:durableId="1180200820">
    <w:abstractNumId w:val="0"/>
  </w:num>
  <w:num w:numId="35" w16cid:durableId="1884829893">
    <w:abstractNumId w:val="15"/>
  </w:num>
  <w:num w:numId="36" w16cid:durableId="1331711394">
    <w:abstractNumId w:val="11"/>
  </w:num>
  <w:num w:numId="37" w16cid:durableId="824784833">
    <w:abstractNumId w:val="20"/>
  </w:num>
  <w:num w:numId="38" w16cid:durableId="1881432534">
    <w:abstractNumId w:val="18"/>
  </w:num>
  <w:num w:numId="39" w16cid:durableId="1056733846">
    <w:abstractNumId w:val="19"/>
  </w:num>
  <w:num w:numId="40" w16cid:durableId="1692410061">
    <w:abstractNumId w:val="17"/>
  </w:num>
  <w:num w:numId="41" w16cid:durableId="447166463">
    <w:abstractNumId w:val="43"/>
  </w:num>
  <w:num w:numId="42" w16cid:durableId="1413821769">
    <w:abstractNumId w:val="10"/>
  </w:num>
  <w:num w:numId="43" w16cid:durableId="1161895893">
    <w:abstractNumId w:val="42"/>
  </w:num>
  <w:num w:numId="44" w16cid:durableId="1074082527">
    <w:abstractNumId w:val="34"/>
  </w:num>
  <w:num w:numId="45" w16cid:durableId="921641648">
    <w:abstractNumId w:val="46"/>
  </w:num>
  <w:num w:numId="46" w16cid:durableId="1464958960">
    <w:abstractNumId w:val="37"/>
  </w:num>
  <w:num w:numId="47" w16cid:durableId="584804938">
    <w:abstractNumId w:val="44"/>
  </w:num>
  <w:num w:numId="48" w16cid:durableId="1666519808">
    <w:abstractNumId w:val="14"/>
  </w:num>
  <w:num w:numId="49" w16cid:durableId="386491207">
    <w:abstractNumId w:val="39"/>
  </w:num>
  <w:num w:numId="50" w16cid:durableId="2008482384">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ara Lowien">
    <w15:presenceInfo w15:providerId="AD" w15:userId="S::ceo@irrigators.org.au::ee52f0b1-32f6-4725-8acb-531a224274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62A"/>
    <w:rsid w:val="0000002B"/>
    <w:rsid w:val="00000976"/>
    <w:rsid w:val="000010AF"/>
    <w:rsid w:val="00001A53"/>
    <w:rsid w:val="00001BE2"/>
    <w:rsid w:val="0000372D"/>
    <w:rsid w:val="0000588F"/>
    <w:rsid w:val="00006D08"/>
    <w:rsid w:val="00006EE6"/>
    <w:rsid w:val="000079B5"/>
    <w:rsid w:val="000118DE"/>
    <w:rsid w:val="00012C27"/>
    <w:rsid w:val="0001403C"/>
    <w:rsid w:val="00014642"/>
    <w:rsid w:val="00016700"/>
    <w:rsid w:val="00022A99"/>
    <w:rsid w:val="00023354"/>
    <w:rsid w:val="0002459F"/>
    <w:rsid w:val="000251D4"/>
    <w:rsid w:val="00027F2E"/>
    <w:rsid w:val="00030567"/>
    <w:rsid w:val="00030DF1"/>
    <w:rsid w:val="00032468"/>
    <w:rsid w:val="0003357B"/>
    <w:rsid w:val="0003678B"/>
    <w:rsid w:val="000371EC"/>
    <w:rsid w:val="00037A9F"/>
    <w:rsid w:val="00040A65"/>
    <w:rsid w:val="00040CB9"/>
    <w:rsid w:val="00047E86"/>
    <w:rsid w:val="0005110D"/>
    <w:rsid w:val="000513D3"/>
    <w:rsid w:val="000532BB"/>
    <w:rsid w:val="00053BBC"/>
    <w:rsid w:val="00053FBB"/>
    <w:rsid w:val="00054334"/>
    <w:rsid w:val="000566EF"/>
    <w:rsid w:val="000568A9"/>
    <w:rsid w:val="00056CF2"/>
    <w:rsid w:val="00057CF9"/>
    <w:rsid w:val="00061C63"/>
    <w:rsid w:val="000623B9"/>
    <w:rsid w:val="000638D2"/>
    <w:rsid w:val="00064404"/>
    <w:rsid w:val="000647D1"/>
    <w:rsid w:val="00066678"/>
    <w:rsid w:val="000718BC"/>
    <w:rsid w:val="00071CB5"/>
    <w:rsid w:val="00073BAE"/>
    <w:rsid w:val="00076F01"/>
    <w:rsid w:val="00081CEB"/>
    <w:rsid w:val="00086CB4"/>
    <w:rsid w:val="00087B1B"/>
    <w:rsid w:val="00087DCD"/>
    <w:rsid w:val="0009004E"/>
    <w:rsid w:val="00092054"/>
    <w:rsid w:val="00093903"/>
    <w:rsid w:val="00093A70"/>
    <w:rsid w:val="0009606F"/>
    <w:rsid w:val="00096B08"/>
    <w:rsid w:val="000A2693"/>
    <w:rsid w:val="000A3862"/>
    <w:rsid w:val="000A6EF2"/>
    <w:rsid w:val="000B02E1"/>
    <w:rsid w:val="000B1D8C"/>
    <w:rsid w:val="000B1FAC"/>
    <w:rsid w:val="000B3046"/>
    <w:rsid w:val="000B4D81"/>
    <w:rsid w:val="000B5E8F"/>
    <w:rsid w:val="000B7F8C"/>
    <w:rsid w:val="000C0DB9"/>
    <w:rsid w:val="000C20CE"/>
    <w:rsid w:val="000C5AE7"/>
    <w:rsid w:val="000C7C94"/>
    <w:rsid w:val="000D34B0"/>
    <w:rsid w:val="000D36DC"/>
    <w:rsid w:val="000D4FB2"/>
    <w:rsid w:val="000D5DE9"/>
    <w:rsid w:val="000E1F82"/>
    <w:rsid w:val="000E29E4"/>
    <w:rsid w:val="000E403C"/>
    <w:rsid w:val="000E463D"/>
    <w:rsid w:val="000E4FD5"/>
    <w:rsid w:val="000E512A"/>
    <w:rsid w:val="000E63A9"/>
    <w:rsid w:val="000F3CE4"/>
    <w:rsid w:val="000F5FFC"/>
    <w:rsid w:val="000F6261"/>
    <w:rsid w:val="0010415D"/>
    <w:rsid w:val="00104DB8"/>
    <w:rsid w:val="00104E1E"/>
    <w:rsid w:val="00106082"/>
    <w:rsid w:val="00106519"/>
    <w:rsid w:val="00110C55"/>
    <w:rsid w:val="00110D7E"/>
    <w:rsid w:val="001135E4"/>
    <w:rsid w:val="00116733"/>
    <w:rsid w:val="00116789"/>
    <w:rsid w:val="00120E6B"/>
    <w:rsid w:val="00121C37"/>
    <w:rsid w:val="00122735"/>
    <w:rsid w:val="0012575B"/>
    <w:rsid w:val="00126EB9"/>
    <w:rsid w:val="001271C2"/>
    <w:rsid w:val="001312E1"/>
    <w:rsid w:val="0013142A"/>
    <w:rsid w:val="00131D1A"/>
    <w:rsid w:val="0013475D"/>
    <w:rsid w:val="00136007"/>
    <w:rsid w:val="001403BA"/>
    <w:rsid w:val="00141726"/>
    <w:rsid w:val="00141CBC"/>
    <w:rsid w:val="001427BD"/>
    <w:rsid w:val="00143B08"/>
    <w:rsid w:val="0014760F"/>
    <w:rsid w:val="001477DB"/>
    <w:rsid w:val="00151471"/>
    <w:rsid w:val="00152D36"/>
    <w:rsid w:val="00155220"/>
    <w:rsid w:val="00155B9C"/>
    <w:rsid w:val="00156A42"/>
    <w:rsid w:val="001622DA"/>
    <w:rsid w:val="001624DC"/>
    <w:rsid w:val="00162750"/>
    <w:rsid w:val="00162A9E"/>
    <w:rsid w:val="00164522"/>
    <w:rsid w:val="001647D3"/>
    <w:rsid w:val="001650E5"/>
    <w:rsid w:val="001651F3"/>
    <w:rsid w:val="001664FC"/>
    <w:rsid w:val="00166DFE"/>
    <w:rsid w:val="00167187"/>
    <w:rsid w:val="0016757A"/>
    <w:rsid w:val="001708FE"/>
    <w:rsid w:val="00171E8A"/>
    <w:rsid w:val="00172881"/>
    <w:rsid w:val="00173B2C"/>
    <w:rsid w:val="00173ED1"/>
    <w:rsid w:val="00174FB4"/>
    <w:rsid w:val="00177883"/>
    <w:rsid w:val="0018271B"/>
    <w:rsid w:val="001853D6"/>
    <w:rsid w:val="00186BB2"/>
    <w:rsid w:val="00195A95"/>
    <w:rsid w:val="00196D2D"/>
    <w:rsid w:val="00196F9A"/>
    <w:rsid w:val="001973BA"/>
    <w:rsid w:val="0019794B"/>
    <w:rsid w:val="00197C63"/>
    <w:rsid w:val="001A014A"/>
    <w:rsid w:val="001A0A8E"/>
    <w:rsid w:val="001A5267"/>
    <w:rsid w:val="001A6B15"/>
    <w:rsid w:val="001A7324"/>
    <w:rsid w:val="001B24CD"/>
    <w:rsid w:val="001B369C"/>
    <w:rsid w:val="001B45E5"/>
    <w:rsid w:val="001B5ABC"/>
    <w:rsid w:val="001C019F"/>
    <w:rsid w:val="001C1309"/>
    <w:rsid w:val="001C1A80"/>
    <w:rsid w:val="001C6B15"/>
    <w:rsid w:val="001C6BA5"/>
    <w:rsid w:val="001C7053"/>
    <w:rsid w:val="001C75D5"/>
    <w:rsid w:val="001C7ABE"/>
    <w:rsid w:val="001D14CC"/>
    <w:rsid w:val="001D2466"/>
    <w:rsid w:val="001D4406"/>
    <w:rsid w:val="001D4FDE"/>
    <w:rsid w:val="001D655C"/>
    <w:rsid w:val="001D70E7"/>
    <w:rsid w:val="001D7B38"/>
    <w:rsid w:val="001E0A2E"/>
    <w:rsid w:val="001E195D"/>
    <w:rsid w:val="001E3FDF"/>
    <w:rsid w:val="001E62D6"/>
    <w:rsid w:val="001E6335"/>
    <w:rsid w:val="001E6955"/>
    <w:rsid w:val="001E7143"/>
    <w:rsid w:val="001F081E"/>
    <w:rsid w:val="001F1068"/>
    <w:rsid w:val="001F1899"/>
    <w:rsid w:val="00201333"/>
    <w:rsid w:val="0020136D"/>
    <w:rsid w:val="0020339E"/>
    <w:rsid w:val="00205085"/>
    <w:rsid w:val="0020579F"/>
    <w:rsid w:val="00205B83"/>
    <w:rsid w:val="00206F34"/>
    <w:rsid w:val="00207CF2"/>
    <w:rsid w:val="00210907"/>
    <w:rsid w:val="002115AF"/>
    <w:rsid w:val="002122B2"/>
    <w:rsid w:val="002126FC"/>
    <w:rsid w:val="002131E4"/>
    <w:rsid w:val="002137F3"/>
    <w:rsid w:val="00221CAD"/>
    <w:rsid w:val="00223414"/>
    <w:rsid w:val="002256C9"/>
    <w:rsid w:val="002321D0"/>
    <w:rsid w:val="00232558"/>
    <w:rsid w:val="00234AD6"/>
    <w:rsid w:val="002358CF"/>
    <w:rsid w:val="002366C0"/>
    <w:rsid w:val="002379A0"/>
    <w:rsid w:val="0024129C"/>
    <w:rsid w:val="0024269C"/>
    <w:rsid w:val="00246119"/>
    <w:rsid w:val="00250AC4"/>
    <w:rsid w:val="00250F95"/>
    <w:rsid w:val="00251D74"/>
    <w:rsid w:val="00251FE1"/>
    <w:rsid w:val="00252969"/>
    <w:rsid w:val="002533EF"/>
    <w:rsid w:val="00254652"/>
    <w:rsid w:val="00254CD7"/>
    <w:rsid w:val="002551DF"/>
    <w:rsid w:val="00255350"/>
    <w:rsid w:val="002553EC"/>
    <w:rsid w:val="00255581"/>
    <w:rsid w:val="00257A85"/>
    <w:rsid w:val="00262A11"/>
    <w:rsid w:val="00262D73"/>
    <w:rsid w:val="00263FEC"/>
    <w:rsid w:val="00265ED7"/>
    <w:rsid w:val="00267892"/>
    <w:rsid w:val="002678E7"/>
    <w:rsid w:val="00267AE4"/>
    <w:rsid w:val="00267C26"/>
    <w:rsid w:val="00273928"/>
    <w:rsid w:val="00274CEB"/>
    <w:rsid w:val="00275315"/>
    <w:rsid w:val="0027577C"/>
    <w:rsid w:val="00275E54"/>
    <w:rsid w:val="002773CE"/>
    <w:rsid w:val="00280639"/>
    <w:rsid w:val="00285E61"/>
    <w:rsid w:val="00286104"/>
    <w:rsid w:val="00287A93"/>
    <w:rsid w:val="00287D18"/>
    <w:rsid w:val="002906E9"/>
    <w:rsid w:val="00291B54"/>
    <w:rsid w:val="00296298"/>
    <w:rsid w:val="00296C84"/>
    <w:rsid w:val="002A05D3"/>
    <w:rsid w:val="002A234B"/>
    <w:rsid w:val="002A2DE8"/>
    <w:rsid w:val="002A4B57"/>
    <w:rsid w:val="002A7962"/>
    <w:rsid w:val="002B07A1"/>
    <w:rsid w:val="002B0A91"/>
    <w:rsid w:val="002B13B3"/>
    <w:rsid w:val="002B37DD"/>
    <w:rsid w:val="002B6183"/>
    <w:rsid w:val="002C0DD1"/>
    <w:rsid w:val="002C3A3F"/>
    <w:rsid w:val="002C51D3"/>
    <w:rsid w:val="002C538D"/>
    <w:rsid w:val="002C5718"/>
    <w:rsid w:val="002C6AC1"/>
    <w:rsid w:val="002C77D4"/>
    <w:rsid w:val="002D1BC9"/>
    <w:rsid w:val="002D222A"/>
    <w:rsid w:val="002D26C5"/>
    <w:rsid w:val="002D635D"/>
    <w:rsid w:val="002D6AB6"/>
    <w:rsid w:val="002D72BB"/>
    <w:rsid w:val="002D7337"/>
    <w:rsid w:val="002E1C6A"/>
    <w:rsid w:val="002E3536"/>
    <w:rsid w:val="002E3847"/>
    <w:rsid w:val="002E5CD0"/>
    <w:rsid w:val="002F07E3"/>
    <w:rsid w:val="002F0A33"/>
    <w:rsid w:val="002F0F48"/>
    <w:rsid w:val="002F27F9"/>
    <w:rsid w:val="002F41CF"/>
    <w:rsid w:val="002F49A3"/>
    <w:rsid w:val="002F4E7A"/>
    <w:rsid w:val="002F7930"/>
    <w:rsid w:val="00300257"/>
    <w:rsid w:val="0030029E"/>
    <w:rsid w:val="00302175"/>
    <w:rsid w:val="00302232"/>
    <w:rsid w:val="003031E0"/>
    <w:rsid w:val="003032B5"/>
    <w:rsid w:val="0031302B"/>
    <w:rsid w:val="0031474B"/>
    <w:rsid w:val="00314CCB"/>
    <w:rsid w:val="003223AC"/>
    <w:rsid w:val="0032583B"/>
    <w:rsid w:val="00325876"/>
    <w:rsid w:val="00325A37"/>
    <w:rsid w:val="0032761C"/>
    <w:rsid w:val="00330437"/>
    <w:rsid w:val="00331527"/>
    <w:rsid w:val="00336425"/>
    <w:rsid w:val="00337FAF"/>
    <w:rsid w:val="003406A3"/>
    <w:rsid w:val="00340A3C"/>
    <w:rsid w:val="00340FFE"/>
    <w:rsid w:val="00341546"/>
    <w:rsid w:val="003419D4"/>
    <w:rsid w:val="003424A0"/>
    <w:rsid w:val="00342681"/>
    <w:rsid w:val="00342874"/>
    <w:rsid w:val="00343B47"/>
    <w:rsid w:val="003449F4"/>
    <w:rsid w:val="00344C99"/>
    <w:rsid w:val="0034636D"/>
    <w:rsid w:val="00346CF0"/>
    <w:rsid w:val="0035228C"/>
    <w:rsid w:val="003526C9"/>
    <w:rsid w:val="003539AE"/>
    <w:rsid w:val="00355537"/>
    <w:rsid w:val="00357F4D"/>
    <w:rsid w:val="003624FF"/>
    <w:rsid w:val="003629FC"/>
    <w:rsid w:val="00364DAF"/>
    <w:rsid w:val="00365120"/>
    <w:rsid w:val="00366C27"/>
    <w:rsid w:val="00367EB4"/>
    <w:rsid w:val="00370447"/>
    <w:rsid w:val="00370898"/>
    <w:rsid w:val="00371474"/>
    <w:rsid w:val="003714F5"/>
    <w:rsid w:val="00371CF0"/>
    <w:rsid w:val="00373941"/>
    <w:rsid w:val="00374E90"/>
    <w:rsid w:val="00375E8D"/>
    <w:rsid w:val="003768D0"/>
    <w:rsid w:val="00380ECE"/>
    <w:rsid w:val="00381A8D"/>
    <w:rsid w:val="00381ADB"/>
    <w:rsid w:val="00381DDA"/>
    <w:rsid w:val="003848B4"/>
    <w:rsid w:val="00384902"/>
    <w:rsid w:val="00384B62"/>
    <w:rsid w:val="00385A93"/>
    <w:rsid w:val="00385B2E"/>
    <w:rsid w:val="00385FCA"/>
    <w:rsid w:val="00386824"/>
    <w:rsid w:val="003913B3"/>
    <w:rsid w:val="00391D68"/>
    <w:rsid w:val="003956BE"/>
    <w:rsid w:val="0039587C"/>
    <w:rsid w:val="003960D6"/>
    <w:rsid w:val="003A1626"/>
    <w:rsid w:val="003A1CC2"/>
    <w:rsid w:val="003A375E"/>
    <w:rsid w:val="003A4335"/>
    <w:rsid w:val="003A5EE8"/>
    <w:rsid w:val="003B25E1"/>
    <w:rsid w:val="003B2A8C"/>
    <w:rsid w:val="003B52BD"/>
    <w:rsid w:val="003B597B"/>
    <w:rsid w:val="003B59E5"/>
    <w:rsid w:val="003B638C"/>
    <w:rsid w:val="003C02DA"/>
    <w:rsid w:val="003C0F01"/>
    <w:rsid w:val="003C14D8"/>
    <w:rsid w:val="003C1670"/>
    <w:rsid w:val="003C25D1"/>
    <w:rsid w:val="003C2CDE"/>
    <w:rsid w:val="003C3345"/>
    <w:rsid w:val="003C7033"/>
    <w:rsid w:val="003C79C1"/>
    <w:rsid w:val="003D35CF"/>
    <w:rsid w:val="003D3A94"/>
    <w:rsid w:val="003D4493"/>
    <w:rsid w:val="003D6BFB"/>
    <w:rsid w:val="003D6D4E"/>
    <w:rsid w:val="003D7FB7"/>
    <w:rsid w:val="003E14AD"/>
    <w:rsid w:val="003E2C59"/>
    <w:rsid w:val="003E4D38"/>
    <w:rsid w:val="003E4FCF"/>
    <w:rsid w:val="003E6E24"/>
    <w:rsid w:val="003F1439"/>
    <w:rsid w:val="003F47A9"/>
    <w:rsid w:val="003F4DDF"/>
    <w:rsid w:val="003F6A60"/>
    <w:rsid w:val="003F7C57"/>
    <w:rsid w:val="00401685"/>
    <w:rsid w:val="00402E1D"/>
    <w:rsid w:val="00404A58"/>
    <w:rsid w:val="00407060"/>
    <w:rsid w:val="004073E5"/>
    <w:rsid w:val="00407A26"/>
    <w:rsid w:val="00410A11"/>
    <w:rsid w:val="00416CCC"/>
    <w:rsid w:val="00420F3E"/>
    <w:rsid w:val="00425547"/>
    <w:rsid w:val="00425E31"/>
    <w:rsid w:val="00426C1A"/>
    <w:rsid w:val="00431922"/>
    <w:rsid w:val="00432433"/>
    <w:rsid w:val="00435CE4"/>
    <w:rsid w:val="00441FD7"/>
    <w:rsid w:val="004425D0"/>
    <w:rsid w:val="004444BC"/>
    <w:rsid w:val="00444799"/>
    <w:rsid w:val="00444F2D"/>
    <w:rsid w:val="00445D8B"/>
    <w:rsid w:val="004470B1"/>
    <w:rsid w:val="00450106"/>
    <w:rsid w:val="004523E2"/>
    <w:rsid w:val="00453181"/>
    <w:rsid w:val="00455371"/>
    <w:rsid w:val="004607F1"/>
    <w:rsid w:val="00461127"/>
    <w:rsid w:val="004622ED"/>
    <w:rsid w:val="00462C76"/>
    <w:rsid w:val="00464BD7"/>
    <w:rsid w:val="004650DF"/>
    <w:rsid w:val="00466EB4"/>
    <w:rsid w:val="00467B46"/>
    <w:rsid w:val="0047049F"/>
    <w:rsid w:val="004732A1"/>
    <w:rsid w:val="004743A3"/>
    <w:rsid w:val="00476A92"/>
    <w:rsid w:val="00477749"/>
    <w:rsid w:val="004779EB"/>
    <w:rsid w:val="0048038A"/>
    <w:rsid w:val="004827C0"/>
    <w:rsid w:val="004829CC"/>
    <w:rsid w:val="00482A12"/>
    <w:rsid w:val="00486283"/>
    <w:rsid w:val="0048645D"/>
    <w:rsid w:val="004870D4"/>
    <w:rsid w:val="00490F3E"/>
    <w:rsid w:val="00492B64"/>
    <w:rsid w:val="00493658"/>
    <w:rsid w:val="004947A9"/>
    <w:rsid w:val="00494AD6"/>
    <w:rsid w:val="00494AFB"/>
    <w:rsid w:val="0049569C"/>
    <w:rsid w:val="004A037F"/>
    <w:rsid w:val="004A0BA1"/>
    <w:rsid w:val="004A6B84"/>
    <w:rsid w:val="004A77FD"/>
    <w:rsid w:val="004B0354"/>
    <w:rsid w:val="004B1393"/>
    <w:rsid w:val="004B169B"/>
    <w:rsid w:val="004B1ACD"/>
    <w:rsid w:val="004B2AFE"/>
    <w:rsid w:val="004B2C6C"/>
    <w:rsid w:val="004B47DA"/>
    <w:rsid w:val="004B6406"/>
    <w:rsid w:val="004B6B29"/>
    <w:rsid w:val="004B79D8"/>
    <w:rsid w:val="004B7B30"/>
    <w:rsid w:val="004B7DD5"/>
    <w:rsid w:val="004C16D5"/>
    <w:rsid w:val="004C4E39"/>
    <w:rsid w:val="004C4F80"/>
    <w:rsid w:val="004C753A"/>
    <w:rsid w:val="004D1EAD"/>
    <w:rsid w:val="004D2D2F"/>
    <w:rsid w:val="004D2FE4"/>
    <w:rsid w:val="004D4779"/>
    <w:rsid w:val="004D5633"/>
    <w:rsid w:val="004E28C8"/>
    <w:rsid w:val="004E3395"/>
    <w:rsid w:val="004E40CA"/>
    <w:rsid w:val="004E6330"/>
    <w:rsid w:val="004E76CF"/>
    <w:rsid w:val="004F09F2"/>
    <w:rsid w:val="004F1826"/>
    <w:rsid w:val="004F1B70"/>
    <w:rsid w:val="004F5D54"/>
    <w:rsid w:val="004F66A4"/>
    <w:rsid w:val="00500C92"/>
    <w:rsid w:val="00502FFE"/>
    <w:rsid w:val="00503412"/>
    <w:rsid w:val="0050407F"/>
    <w:rsid w:val="005050A0"/>
    <w:rsid w:val="00505612"/>
    <w:rsid w:val="00505BA6"/>
    <w:rsid w:val="005072CB"/>
    <w:rsid w:val="0050768C"/>
    <w:rsid w:val="005077AF"/>
    <w:rsid w:val="00510ABB"/>
    <w:rsid w:val="0051787C"/>
    <w:rsid w:val="00517E56"/>
    <w:rsid w:val="00520FFB"/>
    <w:rsid w:val="0052145A"/>
    <w:rsid w:val="00530154"/>
    <w:rsid w:val="005309EA"/>
    <w:rsid w:val="005329B4"/>
    <w:rsid w:val="00534892"/>
    <w:rsid w:val="00540E02"/>
    <w:rsid w:val="00542200"/>
    <w:rsid w:val="0054502B"/>
    <w:rsid w:val="00545747"/>
    <w:rsid w:val="00546828"/>
    <w:rsid w:val="005515DD"/>
    <w:rsid w:val="00551A5C"/>
    <w:rsid w:val="005544E7"/>
    <w:rsid w:val="00554979"/>
    <w:rsid w:val="00554E0D"/>
    <w:rsid w:val="0055520D"/>
    <w:rsid w:val="005568A7"/>
    <w:rsid w:val="005573ED"/>
    <w:rsid w:val="00560714"/>
    <w:rsid w:val="005638A0"/>
    <w:rsid w:val="00563E0F"/>
    <w:rsid w:val="00563FD5"/>
    <w:rsid w:val="00564C99"/>
    <w:rsid w:val="005659E9"/>
    <w:rsid w:val="00567C65"/>
    <w:rsid w:val="00570335"/>
    <w:rsid w:val="005718B3"/>
    <w:rsid w:val="00573A41"/>
    <w:rsid w:val="00574241"/>
    <w:rsid w:val="00575A3D"/>
    <w:rsid w:val="00580017"/>
    <w:rsid w:val="00580F87"/>
    <w:rsid w:val="005869C0"/>
    <w:rsid w:val="005914DD"/>
    <w:rsid w:val="0059221A"/>
    <w:rsid w:val="0059315B"/>
    <w:rsid w:val="00596D56"/>
    <w:rsid w:val="005A0C92"/>
    <w:rsid w:val="005A1F2E"/>
    <w:rsid w:val="005A46CC"/>
    <w:rsid w:val="005A5D2B"/>
    <w:rsid w:val="005A6F4C"/>
    <w:rsid w:val="005B0AE3"/>
    <w:rsid w:val="005B103B"/>
    <w:rsid w:val="005B1FDD"/>
    <w:rsid w:val="005B4DE8"/>
    <w:rsid w:val="005B51B9"/>
    <w:rsid w:val="005B54BA"/>
    <w:rsid w:val="005B6E48"/>
    <w:rsid w:val="005B72F9"/>
    <w:rsid w:val="005C111D"/>
    <w:rsid w:val="005C263D"/>
    <w:rsid w:val="005C3C56"/>
    <w:rsid w:val="005C3E26"/>
    <w:rsid w:val="005C4FE2"/>
    <w:rsid w:val="005C60F8"/>
    <w:rsid w:val="005C7A71"/>
    <w:rsid w:val="005D2425"/>
    <w:rsid w:val="005D2E98"/>
    <w:rsid w:val="005D4054"/>
    <w:rsid w:val="005D46BC"/>
    <w:rsid w:val="005D4CF9"/>
    <w:rsid w:val="005D4F10"/>
    <w:rsid w:val="005D5FC6"/>
    <w:rsid w:val="005D6EAD"/>
    <w:rsid w:val="005E2C86"/>
    <w:rsid w:val="005E2DDB"/>
    <w:rsid w:val="005E4138"/>
    <w:rsid w:val="005E5ADD"/>
    <w:rsid w:val="005E5CE9"/>
    <w:rsid w:val="005E6D25"/>
    <w:rsid w:val="005F0F74"/>
    <w:rsid w:val="005F4B4E"/>
    <w:rsid w:val="005F6007"/>
    <w:rsid w:val="006010C1"/>
    <w:rsid w:val="006026B4"/>
    <w:rsid w:val="006045BB"/>
    <w:rsid w:val="00612743"/>
    <w:rsid w:val="0061418C"/>
    <w:rsid w:val="00614B28"/>
    <w:rsid w:val="006239EB"/>
    <w:rsid w:val="00626146"/>
    <w:rsid w:val="006336E0"/>
    <w:rsid w:val="006356CF"/>
    <w:rsid w:val="0063603D"/>
    <w:rsid w:val="0063616B"/>
    <w:rsid w:val="00636549"/>
    <w:rsid w:val="006366E8"/>
    <w:rsid w:val="00637172"/>
    <w:rsid w:val="00637D77"/>
    <w:rsid w:val="00641D15"/>
    <w:rsid w:val="00641FC0"/>
    <w:rsid w:val="0064276E"/>
    <w:rsid w:val="0064464D"/>
    <w:rsid w:val="00645352"/>
    <w:rsid w:val="006510B9"/>
    <w:rsid w:val="006526E5"/>
    <w:rsid w:val="006543F3"/>
    <w:rsid w:val="00654FCC"/>
    <w:rsid w:val="006556BE"/>
    <w:rsid w:val="0065707B"/>
    <w:rsid w:val="0066247D"/>
    <w:rsid w:val="0066681D"/>
    <w:rsid w:val="00671BE6"/>
    <w:rsid w:val="006720D9"/>
    <w:rsid w:val="00674C56"/>
    <w:rsid w:val="00675B61"/>
    <w:rsid w:val="00675BB9"/>
    <w:rsid w:val="006769F2"/>
    <w:rsid w:val="00677234"/>
    <w:rsid w:val="006833DC"/>
    <w:rsid w:val="00684DFA"/>
    <w:rsid w:val="00684EA5"/>
    <w:rsid w:val="00687404"/>
    <w:rsid w:val="006908C2"/>
    <w:rsid w:val="00693F7D"/>
    <w:rsid w:val="00694680"/>
    <w:rsid w:val="00695448"/>
    <w:rsid w:val="00695790"/>
    <w:rsid w:val="006961D4"/>
    <w:rsid w:val="00697C56"/>
    <w:rsid w:val="00697F4C"/>
    <w:rsid w:val="006A0F17"/>
    <w:rsid w:val="006A21F9"/>
    <w:rsid w:val="006A3F24"/>
    <w:rsid w:val="006A6975"/>
    <w:rsid w:val="006A6E24"/>
    <w:rsid w:val="006B0E7D"/>
    <w:rsid w:val="006B1030"/>
    <w:rsid w:val="006B143C"/>
    <w:rsid w:val="006B30E7"/>
    <w:rsid w:val="006B6700"/>
    <w:rsid w:val="006B7A0D"/>
    <w:rsid w:val="006C0343"/>
    <w:rsid w:val="006C12F2"/>
    <w:rsid w:val="006C1EC4"/>
    <w:rsid w:val="006C5C03"/>
    <w:rsid w:val="006C6CC5"/>
    <w:rsid w:val="006C7372"/>
    <w:rsid w:val="006D0935"/>
    <w:rsid w:val="006D1702"/>
    <w:rsid w:val="006D3C5A"/>
    <w:rsid w:val="006D407B"/>
    <w:rsid w:val="006D5BAD"/>
    <w:rsid w:val="006D5CD2"/>
    <w:rsid w:val="006D5CF1"/>
    <w:rsid w:val="006D7776"/>
    <w:rsid w:val="006E26EC"/>
    <w:rsid w:val="006E3896"/>
    <w:rsid w:val="006E43F0"/>
    <w:rsid w:val="006E4588"/>
    <w:rsid w:val="006E5B48"/>
    <w:rsid w:val="006E5B69"/>
    <w:rsid w:val="006E7865"/>
    <w:rsid w:val="006F0F14"/>
    <w:rsid w:val="006F15AB"/>
    <w:rsid w:val="0070023E"/>
    <w:rsid w:val="00700E88"/>
    <w:rsid w:val="00701DB4"/>
    <w:rsid w:val="007020A1"/>
    <w:rsid w:val="00704984"/>
    <w:rsid w:val="007055CB"/>
    <w:rsid w:val="007073BA"/>
    <w:rsid w:val="00707AD7"/>
    <w:rsid w:val="00707ECD"/>
    <w:rsid w:val="00707F89"/>
    <w:rsid w:val="0071097A"/>
    <w:rsid w:val="00711D90"/>
    <w:rsid w:val="00711EA6"/>
    <w:rsid w:val="007125E9"/>
    <w:rsid w:val="007149C2"/>
    <w:rsid w:val="00715739"/>
    <w:rsid w:val="0072021E"/>
    <w:rsid w:val="0072279E"/>
    <w:rsid w:val="007229F4"/>
    <w:rsid w:val="00723705"/>
    <w:rsid w:val="0072485D"/>
    <w:rsid w:val="00726FE8"/>
    <w:rsid w:val="0072716E"/>
    <w:rsid w:val="007338D1"/>
    <w:rsid w:val="00733CCA"/>
    <w:rsid w:val="0073462D"/>
    <w:rsid w:val="00737958"/>
    <w:rsid w:val="00746377"/>
    <w:rsid w:val="00751099"/>
    <w:rsid w:val="00751B13"/>
    <w:rsid w:val="00753DDD"/>
    <w:rsid w:val="00755249"/>
    <w:rsid w:val="00755DE2"/>
    <w:rsid w:val="00757A6E"/>
    <w:rsid w:val="00760CAB"/>
    <w:rsid w:val="00762D2A"/>
    <w:rsid w:val="00764BFC"/>
    <w:rsid w:val="00765A08"/>
    <w:rsid w:val="00766373"/>
    <w:rsid w:val="00767250"/>
    <w:rsid w:val="00767B17"/>
    <w:rsid w:val="007701E7"/>
    <w:rsid w:val="0077185F"/>
    <w:rsid w:val="0077312F"/>
    <w:rsid w:val="00773384"/>
    <w:rsid w:val="00774E7D"/>
    <w:rsid w:val="00774F5C"/>
    <w:rsid w:val="00780577"/>
    <w:rsid w:val="00781832"/>
    <w:rsid w:val="00783D55"/>
    <w:rsid w:val="00786919"/>
    <w:rsid w:val="0079033E"/>
    <w:rsid w:val="00792214"/>
    <w:rsid w:val="00796A51"/>
    <w:rsid w:val="00797D28"/>
    <w:rsid w:val="007A373E"/>
    <w:rsid w:val="007A6024"/>
    <w:rsid w:val="007A6216"/>
    <w:rsid w:val="007B09C7"/>
    <w:rsid w:val="007B4383"/>
    <w:rsid w:val="007B70A0"/>
    <w:rsid w:val="007B7502"/>
    <w:rsid w:val="007B78A0"/>
    <w:rsid w:val="007C15DF"/>
    <w:rsid w:val="007C1E64"/>
    <w:rsid w:val="007C2122"/>
    <w:rsid w:val="007C5CFF"/>
    <w:rsid w:val="007C6993"/>
    <w:rsid w:val="007C69A6"/>
    <w:rsid w:val="007D00A1"/>
    <w:rsid w:val="007D0187"/>
    <w:rsid w:val="007D1657"/>
    <w:rsid w:val="007D1ED1"/>
    <w:rsid w:val="007D2FE5"/>
    <w:rsid w:val="007D6326"/>
    <w:rsid w:val="007D77F8"/>
    <w:rsid w:val="007D7E53"/>
    <w:rsid w:val="007E7358"/>
    <w:rsid w:val="007E747D"/>
    <w:rsid w:val="007F026C"/>
    <w:rsid w:val="007F0858"/>
    <w:rsid w:val="007F165A"/>
    <w:rsid w:val="007F2CD1"/>
    <w:rsid w:val="007F2E82"/>
    <w:rsid w:val="007F32F5"/>
    <w:rsid w:val="007F3344"/>
    <w:rsid w:val="007F45E1"/>
    <w:rsid w:val="007F4E7F"/>
    <w:rsid w:val="007F5AD6"/>
    <w:rsid w:val="007F623C"/>
    <w:rsid w:val="007F66A7"/>
    <w:rsid w:val="007F6EF8"/>
    <w:rsid w:val="007F6FDF"/>
    <w:rsid w:val="008001A1"/>
    <w:rsid w:val="00800F43"/>
    <w:rsid w:val="00801642"/>
    <w:rsid w:val="008024EF"/>
    <w:rsid w:val="00802D77"/>
    <w:rsid w:val="00803B65"/>
    <w:rsid w:val="0080587D"/>
    <w:rsid w:val="0080619C"/>
    <w:rsid w:val="00806B94"/>
    <w:rsid w:val="00806E25"/>
    <w:rsid w:val="0080710E"/>
    <w:rsid w:val="008073B4"/>
    <w:rsid w:val="0081140F"/>
    <w:rsid w:val="00812203"/>
    <w:rsid w:val="00812A12"/>
    <w:rsid w:val="00813362"/>
    <w:rsid w:val="008134E3"/>
    <w:rsid w:val="008136BF"/>
    <w:rsid w:val="00820DEE"/>
    <w:rsid w:val="008210B7"/>
    <w:rsid w:val="008219FD"/>
    <w:rsid w:val="00822657"/>
    <w:rsid w:val="0082546D"/>
    <w:rsid w:val="00825D65"/>
    <w:rsid w:val="00827948"/>
    <w:rsid w:val="00830429"/>
    <w:rsid w:val="00830715"/>
    <w:rsid w:val="00832A98"/>
    <w:rsid w:val="008367F0"/>
    <w:rsid w:val="0083745A"/>
    <w:rsid w:val="00845ADD"/>
    <w:rsid w:val="00846728"/>
    <w:rsid w:val="00850175"/>
    <w:rsid w:val="00850355"/>
    <w:rsid w:val="008520A4"/>
    <w:rsid w:val="00852571"/>
    <w:rsid w:val="00853BDE"/>
    <w:rsid w:val="00853D57"/>
    <w:rsid w:val="00854A84"/>
    <w:rsid w:val="0085581B"/>
    <w:rsid w:val="00856A30"/>
    <w:rsid w:val="00862455"/>
    <w:rsid w:val="008636D5"/>
    <w:rsid w:val="00864655"/>
    <w:rsid w:val="008646EF"/>
    <w:rsid w:val="00865987"/>
    <w:rsid w:val="00866CF8"/>
    <w:rsid w:val="008706B0"/>
    <w:rsid w:val="0087201B"/>
    <w:rsid w:val="00873390"/>
    <w:rsid w:val="008735D5"/>
    <w:rsid w:val="00874B2A"/>
    <w:rsid w:val="00874DA0"/>
    <w:rsid w:val="008754FF"/>
    <w:rsid w:val="0087577C"/>
    <w:rsid w:val="00876B43"/>
    <w:rsid w:val="008774FE"/>
    <w:rsid w:val="0087762F"/>
    <w:rsid w:val="00881759"/>
    <w:rsid w:val="00883661"/>
    <w:rsid w:val="00883F9E"/>
    <w:rsid w:val="008840F3"/>
    <w:rsid w:val="008843FF"/>
    <w:rsid w:val="00886966"/>
    <w:rsid w:val="0089084D"/>
    <w:rsid w:val="00890B62"/>
    <w:rsid w:val="008931DA"/>
    <w:rsid w:val="008937DF"/>
    <w:rsid w:val="00895CA3"/>
    <w:rsid w:val="008A0C8A"/>
    <w:rsid w:val="008A1133"/>
    <w:rsid w:val="008A2126"/>
    <w:rsid w:val="008A2175"/>
    <w:rsid w:val="008A57D1"/>
    <w:rsid w:val="008A7FCE"/>
    <w:rsid w:val="008B0A09"/>
    <w:rsid w:val="008B0CE1"/>
    <w:rsid w:val="008B1B9C"/>
    <w:rsid w:val="008B72AA"/>
    <w:rsid w:val="008B7C7E"/>
    <w:rsid w:val="008C07F6"/>
    <w:rsid w:val="008C0C49"/>
    <w:rsid w:val="008C3FF4"/>
    <w:rsid w:val="008C4600"/>
    <w:rsid w:val="008C4CB6"/>
    <w:rsid w:val="008D29C6"/>
    <w:rsid w:val="008D33E8"/>
    <w:rsid w:val="008D3582"/>
    <w:rsid w:val="008E0731"/>
    <w:rsid w:val="008E5901"/>
    <w:rsid w:val="008F0429"/>
    <w:rsid w:val="008F08F3"/>
    <w:rsid w:val="008F0C28"/>
    <w:rsid w:val="008F15D7"/>
    <w:rsid w:val="008F176D"/>
    <w:rsid w:val="008F2F11"/>
    <w:rsid w:val="008F3EA6"/>
    <w:rsid w:val="008F3EB4"/>
    <w:rsid w:val="008F7FCA"/>
    <w:rsid w:val="00900C17"/>
    <w:rsid w:val="009025B3"/>
    <w:rsid w:val="00906020"/>
    <w:rsid w:val="00906EAB"/>
    <w:rsid w:val="00907BA1"/>
    <w:rsid w:val="00911EB2"/>
    <w:rsid w:val="00915396"/>
    <w:rsid w:val="00915887"/>
    <w:rsid w:val="0091667A"/>
    <w:rsid w:val="00917C83"/>
    <w:rsid w:val="0092069B"/>
    <w:rsid w:val="00920C44"/>
    <w:rsid w:val="009237F5"/>
    <w:rsid w:val="00925875"/>
    <w:rsid w:val="00926F2C"/>
    <w:rsid w:val="00932DDB"/>
    <w:rsid w:val="00933480"/>
    <w:rsid w:val="00936272"/>
    <w:rsid w:val="009375AF"/>
    <w:rsid w:val="00941D94"/>
    <w:rsid w:val="00943084"/>
    <w:rsid w:val="00943155"/>
    <w:rsid w:val="0094628C"/>
    <w:rsid w:val="00947F11"/>
    <w:rsid w:val="00950E4F"/>
    <w:rsid w:val="00950E69"/>
    <w:rsid w:val="00953ABC"/>
    <w:rsid w:val="0095420C"/>
    <w:rsid w:val="009566A9"/>
    <w:rsid w:val="009630E0"/>
    <w:rsid w:val="00963996"/>
    <w:rsid w:val="00963C79"/>
    <w:rsid w:val="00971A2B"/>
    <w:rsid w:val="0097320F"/>
    <w:rsid w:val="0097626D"/>
    <w:rsid w:val="0097722D"/>
    <w:rsid w:val="009819BA"/>
    <w:rsid w:val="00981ED7"/>
    <w:rsid w:val="009831A4"/>
    <w:rsid w:val="00983868"/>
    <w:rsid w:val="00984596"/>
    <w:rsid w:val="00985201"/>
    <w:rsid w:val="00986224"/>
    <w:rsid w:val="00991F3F"/>
    <w:rsid w:val="00993694"/>
    <w:rsid w:val="00993BE6"/>
    <w:rsid w:val="00997485"/>
    <w:rsid w:val="009A3323"/>
    <w:rsid w:val="009A4597"/>
    <w:rsid w:val="009A5591"/>
    <w:rsid w:val="009B0CDB"/>
    <w:rsid w:val="009B1BF9"/>
    <w:rsid w:val="009B24A5"/>
    <w:rsid w:val="009B3D1A"/>
    <w:rsid w:val="009B726C"/>
    <w:rsid w:val="009C1A0A"/>
    <w:rsid w:val="009C2731"/>
    <w:rsid w:val="009C2DA8"/>
    <w:rsid w:val="009D00ED"/>
    <w:rsid w:val="009D0247"/>
    <w:rsid w:val="009D119D"/>
    <w:rsid w:val="009D1F2B"/>
    <w:rsid w:val="009D3177"/>
    <w:rsid w:val="009D3356"/>
    <w:rsid w:val="009D3F96"/>
    <w:rsid w:val="009D435C"/>
    <w:rsid w:val="009D547C"/>
    <w:rsid w:val="009D5E12"/>
    <w:rsid w:val="009D61DE"/>
    <w:rsid w:val="009E022C"/>
    <w:rsid w:val="009E03EF"/>
    <w:rsid w:val="009E17A1"/>
    <w:rsid w:val="009E4B67"/>
    <w:rsid w:val="009E5B19"/>
    <w:rsid w:val="009E63B2"/>
    <w:rsid w:val="009E76F5"/>
    <w:rsid w:val="009E7F92"/>
    <w:rsid w:val="009F02F5"/>
    <w:rsid w:val="009F2646"/>
    <w:rsid w:val="009F2B04"/>
    <w:rsid w:val="009F44ED"/>
    <w:rsid w:val="009F4674"/>
    <w:rsid w:val="009F6800"/>
    <w:rsid w:val="00A034EC"/>
    <w:rsid w:val="00A04763"/>
    <w:rsid w:val="00A04D0D"/>
    <w:rsid w:val="00A05065"/>
    <w:rsid w:val="00A064D3"/>
    <w:rsid w:val="00A0716A"/>
    <w:rsid w:val="00A07430"/>
    <w:rsid w:val="00A07A92"/>
    <w:rsid w:val="00A103E1"/>
    <w:rsid w:val="00A10979"/>
    <w:rsid w:val="00A12942"/>
    <w:rsid w:val="00A1691E"/>
    <w:rsid w:val="00A1798B"/>
    <w:rsid w:val="00A22FAF"/>
    <w:rsid w:val="00A23A62"/>
    <w:rsid w:val="00A2427A"/>
    <w:rsid w:val="00A24C4D"/>
    <w:rsid w:val="00A25779"/>
    <w:rsid w:val="00A312B2"/>
    <w:rsid w:val="00A355CD"/>
    <w:rsid w:val="00A36AA6"/>
    <w:rsid w:val="00A41744"/>
    <w:rsid w:val="00A42337"/>
    <w:rsid w:val="00A43EFB"/>
    <w:rsid w:val="00A446F5"/>
    <w:rsid w:val="00A44E66"/>
    <w:rsid w:val="00A4641F"/>
    <w:rsid w:val="00A51860"/>
    <w:rsid w:val="00A536F2"/>
    <w:rsid w:val="00A53B29"/>
    <w:rsid w:val="00A54CAB"/>
    <w:rsid w:val="00A56C01"/>
    <w:rsid w:val="00A5758A"/>
    <w:rsid w:val="00A614C0"/>
    <w:rsid w:val="00A62D39"/>
    <w:rsid w:val="00A63825"/>
    <w:rsid w:val="00A638B9"/>
    <w:rsid w:val="00A658A6"/>
    <w:rsid w:val="00A66022"/>
    <w:rsid w:val="00A661A6"/>
    <w:rsid w:val="00A661BA"/>
    <w:rsid w:val="00A6634C"/>
    <w:rsid w:val="00A67F61"/>
    <w:rsid w:val="00A71303"/>
    <w:rsid w:val="00A7161B"/>
    <w:rsid w:val="00A71AAE"/>
    <w:rsid w:val="00A72AB7"/>
    <w:rsid w:val="00A73ADE"/>
    <w:rsid w:val="00A749A7"/>
    <w:rsid w:val="00A763F8"/>
    <w:rsid w:val="00A8186C"/>
    <w:rsid w:val="00A81B9A"/>
    <w:rsid w:val="00A82CED"/>
    <w:rsid w:val="00A83165"/>
    <w:rsid w:val="00A839F8"/>
    <w:rsid w:val="00A85461"/>
    <w:rsid w:val="00A85616"/>
    <w:rsid w:val="00A85F74"/>
    <w:rsid w:val="00A86875"/>
    <w:rsid w:val="00A90088"/>
    <w:rsid w:val="00A91082"/>
    <w:rsid w:val="00A920B5"/>
    <w:rsid w:val="00A93616"/>
    <w:rsid w:val="00A93C15"/>
    <w:rsid w:val="00A93FBA"/>
    <w:rsid w:val="00A94C24"/>
    <w:rsid w:val="00A9557A"/>
    <w:rsid w:val="00A95A7F"/>
    <w:rsid w:val="00A95DFE"/>
    <w:rsid w:val="00A97E9A"/>
    <w:rsid w:val="00AA0C42"/>
    <w:rsid w:val="00AA1633"/>
    <w:rsid w:val="00AA29B5"/>
    <w:rsid w:val="00AA3547"/>
    <w:rsid w:val="00AA5DF7"/>
    <w:rsid w:val="00AA6629"/>
    <w:rsid w:val="00AA7C4F"/>
    <w:rsid w:val="00AA7F27"/>
    <w:rsid w:val="00AB01A8"/>
    <w:rsid w:val="00AB02C5"/>
    <w:rsid w:val="00AB0340"/>
    <w:rsid w:val="00AB060F"/>
    <w:rsid w:val="00AB0A29"/>
    <w:rsid w:val="00AB1AEE"/>
    <w:rsid w:val="00AB1E00"/>
    <w:rsid w:val="00AB61D8"/>
    <w:rsid w:val="00AB6FBC"/>
    <w:rsid w:val="00AC01C6"/>
    <w:rsid w:val="00AC1603"/>
    <w:rsid w:val="00AC2745"/>
    <w:rsid w:val="00AC525C"/>
    <w:rsid w:val="00AD1CB3"/>
    <w:rsid w:val="00AD66BF"/>
    <w:rsid w:val="00AD6CC7"/>
    <w:rsid w:val="00AE03E7"/>
    <w:rsid w:val="00AE116D"/>
    <w:rsid w:val="00AE2CF9"/>
    <w:rsid w:val="00AE37E8"/>
    <w:rsid w:val="00AE54E5"/>
    <w:rsid w:val="00AE5879"/>
    <w:rsid w:val="00AE5945"/>
    <w:rsid w:val="00AE6595"/>
    <w:rsid w:val="00AE666C"/>
    <w:rsid w:val="00AE66C6"/>
    <w:rsid w:val="00AE69F4"/>
    <w:rsid w:val="00AE6B65"/>
    <w:rsid w:val="00AF1192"/>
    <w:rsid w:val="00AF392A"/>
    <w:rsid w:val="00AF4FF9"/>
    <w:rsid w:val="00AF561A"/>
    <w:rsid w:val="00AF5933"/>
    <w:rsid w:val="00AF6CDC"/>
    <w:rsid w:val="00AF74F7"/>
    <w:rsid w:val="00B02E1D"/>
    <w:rsid w:val="00B03514"/>
    <w:rsid w:val="00B03FEE"/>
    <w:rsid w:val="00B062FA"/>
    <w:rsid w:val="00B07158"/>
    <w:rsid w:val="00B0730D"/>
    <w:rsid w:val="00B07DF1"/>
    <w:rsid w:val="00B1139B"/>
    <w:rsid w:val="00B11DE2"/>
    <w:rsid w:val="00B12094"/>
    <w:rsid w:val="00B156B8"/>
    <w:rsid w:val="00B17CA1"/>
    <w:rsid w:val="00B17FCC"/>
    <w:rsid w:val="00B20A9E"/>
    <w:rsid w:val="00B219D3"/>
    <w:rsid w:val="00B2245D"/>
    <w:rsid w:val="00B24F71"/>
    <w:rsid w:val="00B25921"/>
    <w:rsid w:val="00B25A08"/>
    <w:rsid w:val="00B25A0A"/>
    <w:rsid w:val="00B2625B"/>
    <w:rsid w:val="00B35CE9"/>
    <w:rsid w:val="00B3617D"/>
    <w:rsid w:val="00B374C0"/>
    <w:rsid w:val="00B42D2A"/>
    <w:rsid w:val="00B44082"/>
    <w:rsid w:val="00B45ECE"/>
    <w:rsid w:val="00B50E66"/>
    <w:rsid w:val="00B53076"/>
    <w:rsid w:val="00B53202"/>
    <w:rsid w:val="00B55056"/>
    <w:rsid w:val="00B55A9C"/>
    <w:rsid w:val="00B6277B"/>
    <w:rsid w:val="00B635DE"/>
    <w:rsid w:val="00B667FF"/>
    <w:rsid w:val="00B66A06"/>
    <w:rsid w:val="00B67349"/>
    <w:rsid w:val="00B6735A"/>
    <w:rsid w:val="00B74231"/>
    <w:rsid w:val="00B7690A"/>
    <w:rsid w:val="00B76CAF"/>
    <w:rsid w:val="00B77570"/>
    <w:rsid w:val="00B77EEC"/>
    <w:rsid w:val="00B8061A"/>
    <w:rsid w:val="00B80C90"/>
    <w:rsid w:val="00B84119"/>
    <w:rsid w:val="00B84DF1"/>
    <w:rsid w:val="00B863D0"/>
    <w:rsid w:val="00B86C60"/>
    <w:rsid w:val="00B87A12"/>
    <w:rsid w:val="00B95482"/>
    <w:rsid w:val="00B975AB"/>
    <w:rsid w:val="00B97F41"/>
    <w:rsid w:val="00BA0CA6"/>
    <w:rsid w:val="00BA162A"/>
    <w:rsid w:val="00BB186B"/>
    <w:rsid w:val="00BB46D2"/>
    <w:rsid w:val="00BB49B7"/>
    <w:rsid w:val="00BB62BC"/>
    <w:rsid w:val="00BC1FB8"/>
    <w:rsid w:val="00BC3EA0"/>
    <w:rsid w:val="00BC5174"/>
    <w:rsid w:val="00BC6CE4"/>
    <w:rsid w:val="00BC766E"/>
    <w:rsid w:val="00BD1371"/>
    <w:rsid w:val="00BD20A0"/>
    <w:rsid w:val="00BE0F33"/>
    <w:rsid w:val="00BE1BD1"/>
    <w:rsid w:val="00BE2DA6"/>
    <w:rsid w:val="00BE2F3F"/>
    <w:rsid w:val="00BE4005"/>
    <w:rsid w:val="00BE573A"/>
    <w:rsid w:val="00BE6F3C"/>
    <w:rsid w:val="00BE77DF"/>
    <w:rsid w:val="00BF0AB3"/>
    <w:rsid w:val="00BF154E"/>
    <w:rsid w:val="00BF1587"/>
    <w:rsid w:val="00BF3149"/>
    <w:rsid w:val="00BF36DA"/>
    <w:rsid w:val="00C02DFB"/>
    <w:rsid w:val="00C04A1A"/>
    <w:rsid w:val="00C05FF2"/>
    <w:rsid w:val="00C06298"/>
    <w:rsid w:val="00C07158"/>
    <w:rsid w:val="00C07767"/>
    <w:rsid w:val="00C10583"/>
    <w:rsid w:val="00C14828"/>
    <w:rsid w:val="00C20C25"/>
    <w:rsid w:val="00C224CA"/>
    <w:rsid w:val="00C22EFA"/>
    <w:rsid w:val="00C24519"/>
    <w:rsid w:val="00C24C14"/>
    <w:rsid w:val="00C24D2F"/>
    <w:rsid w:val="00C2695C"/>
    <w:rsid w:val="00C269F7"/>
    <w:rsid w:val="00C27131"/>
    <w:rsid w:val="00C300A3"/>
    <w:rsid w:val="00C315CE"/>
    <w:rsid w:val="00C34663"/>
    <w:rsid w:val="00C359E9"/>
    <w:rsid w:val="00C37A75"/>
    <w:rsid w:val="00C40C87"/>
    <w:rsid w:val="00C454D9"/>
    <w:rsid w:val="00C46BD0"/>
    <w:rsid w:val="00C501FA"/>
    <w:rsid w:val="00C504FF"/>
    <w:rsid w:val="00C505CB"/>
    <w:rsid w:val="00C530B2"/>
    <w:rsid w:val="00C53BEA"/>
    <w:rsid w:val="00C547AC"/>
    <w:rsid w:val="00C57E25"/>
    <w:rsid w:val="00C6077A"/>
    <w:rsid w:val="00C619DC"/>
    <w:rsid w:val="00C62E4D"/>
    <w:rsid w:val="00C654E5"/>
    <w:rsid w:val="00C669D4"/>
    <w:rsid w:val="00C7001E"/>
    <w:rsid w:val="00C70053"/>
    <w:rsid w:val="00C70573"/>
    <w:rsid w:val="00C72154"/>
    <w:rsid w:val="00C72914"/>
    <w:rsid w:val="00C74453"/>
    <w:rsid w:val="00C7499E"/>
    <w:rsid w:val="00C75F86"/>
    <w:rsid w:val="00C760B5"/>
    <w:rsid w:val="00C80D6D"/>
    <w:rsid w:val="00C817D9"/>
    <w:rsid w:val="00C81E1B"/>
    <w:rsid w:val="00C834E1"/>
    <w:rsid w:val="00C8750B"/>
    <w:rsid w:val="00C8754D"/>
    <w:rsid w:val="00C87769"/>
    <w:rsid w:val="00C912EB"/>
    <w:rsid w:val="00C91B17"/>
    <w:rsid w:val="00C9304F"/>
    <w:rsid w:val="00C93E45"/>
    <w:rsid w:val="00C95AD5"/>
    <w:rsid w:val="00CA0FDC"/>
    <w:rsid w:val="00CA0FF2"/>
    <w:rsid w:val="00CA16CE"/>
    <w:rsid w:val="00CA1C07"/>
    <w:rsid w:val="00CA25B9"/>
    <w:rsid w:val="00CA5B29"/>
    <w:rsid w:val="00CA6E73"/>
    <w:rsid w:val="00CB113E"/>
    <w:rsid w:val="00CB1B72"/>
    <w:rsid w:val="00CB22D1"/>
    <w:rsid w:val="00CB5069"/>
    <w:rsid w:val="00CB5A73"/>
    <w:rsid w:val="00CB6330"/>
    <w:rsid w:val="00CC104D"/>
    <w:rsid w:val="00CC6378"/>
    <w:rsid w:val="00CC7DA6"/>
    <w:rsid w:val="00CD148E"/>
    <w:rsid w:val="00CD1D96"/>
    <w:rsid w:val="00CD28C1"/>
    <w:rsid w:val="00CD300F"/>
    <w:rsid w:val="00CD3385"/>
    <w:rsid w:val="00CD3EE1"/>
    <w:rsid w:val="00CD4716"/>
    <w:rsid w:val="00CD4D20"/>
    <w:rsid w:val="00CD4FAA"/>
    <w:rsid w:val="00CD5FB3"/>
    <w:rsid w:val="00CD632E"/>
    <w:rsid w:val="00CD6E2F"/>
    <w:rsid w:val="00CD778E"/>
    <w:rsid w:val="00CD791C"/>
    <w:rsid w:val="00CE132D"/>
    <w:rsid w:val="00CE1649"/>
    <w:rsid w:val="00CE51F3"/>
    <w:rsid w:val="00CE5396"/>
    <w:rsid w:val="00CF0B87"/>
    <w:rsid w:val="00CF0C7B"/>
    <w:rsid w:val="00CF1A21"/>
    <w:rsid w:val="00CF2311"/>
    <w:rsid w:val="00CF2809"/>
    <w:rsid w:val="00CF3A40"/>
    <w:rsid w:val="00CF4A98"/>
    <w:rsid w:val="00D00B84"/>
    <w:rsid w:val="00D056FC"/>
    <w:rsid w:val="00D06069"/>
    <w:rsid w:val="00D10E09"/>
    <w:rsid w:val="00D1107E"/>
    <w:rsid w:val="00D120EE"/>
    <w:rsid w:val="00D12135"/>
    <w:rsid w:val="00D12925"/>
    <w:rsid w:val="00D17601"/>
    <w:rsid w:val="00D178AA"/>
    <w:rsid w:val="00D17D4A"/>
    <w:rsid w:val="00D21A7D"/>
    <w:rsid w:val="00D222DD"/>
    <w:rsid w:val="00D23A3F"/>
    <w:rsid w:val="00D24E0A"/>
    <w:rsid w:val="00D263AC"/>
    <w:rsid w:val="00D304FC"/>
    <w:rsid w:val="00D31050"/>
    <w:rsid w:val="00D3343C"/>
    <w:rsid w:val="00D336F2"/>
    <w:rsid w:val="00D33E81"/>
    <w:rsid w:val="00D35198"/>
    <w:rsid w:val="00D36157"/>
    <w:rsid w:val="00D374C6"/>
    <w:rsid w:val="00D4157E"/>
    <w:rsid w:val="00D41F0A"/>
    <w:rsid w:val="00D43CEA"/>
    <w:rsid w:val="00D4626E"/>
    <w:rsid w:val="00D51C30"/>
    <w:rsid w:val="00D52369"/>
    <w:rsid w:val="00D5272B"/>
    <w:rsid w:val="00D55036"/>
    <w:rsid w:val="00D5564D"/>
    <w:rsid w:val="00D55E42"/>
    <w:rsid w:val="00D568EB"/>
    <w:rsid w:val="00D601BB"/>
    <w:rsid w:val="00D602C2"/>
    <w:rsid w:val="00D60B36"/>
    <w:rsid w:val="00D62031"/>
    <w:rsid w:val="00D62AE6"/>
    <w:rsid w:val="00D62E24"/>
    <w:rsid w:val="00D63115"/>
    <w:rsid w:val="00D6339E"/>
    <w:rsid w:val="00D63A4F"/>
    <w:rsid w:val="00D73A9A"/>
    <w:rsid w:val="00D73CED"/>
    <w:rsid w:val="00D77ACD"/>
    <w:rsid w:val="00D82009"/>
    <w:rsid w:val="00D82851"/>
    <w:rsid w:val="00D832CC"/>
    <w:rsid w:val="00D83888"/>
    <w:rsid w:val="00D905C2"/>
    <w:rsid w:val="00D91812"/>
    <w:rsid w:val="00D9232F"/>
    <w:rsid w:val="00D9250A"/>
    <w:rsid w:val="00D93640"/>
    <w:rsid w:val="00D93CA0"/>
    <w:rsid w:val="00D94515"/>
    <w:rsid w:val="00D956B7"/>
    <w:rsid w:val="00DA3334"/>
    <w:rsid w:val="00DA3815"/>
    <w:rsid w:val="00DA72F9"/>
    <w:rsid w:val="00DB28E9"/>
    <w:rsid w:val="00DB2E63"/>
    <w:rsid w:val="00DB31A2"/>
    <w:rsid w:val="00DB3577"/>
    <w:rsid w:val="00DB4171"/>
    <w:rsid w:val="00DB6F9D"/>
    <w:rsid w:val="00DB7180"/>
    <w:rsid w:val="00DC4787"/>
    <w:rsid w:val="00DC772A"/>
    <w:rsid w:val="00DD5A4E"/>
    <w:rsid w:val="00DD7E75"/>
    <w:rsid w:val="00DE350C"/>
    <w:rsid w:val="00DE4067"/>
    <w:rsid w:val="00DE4BE9"/>
    <w:rsid w:val="00DE5664"/>
    <w:rsid w:val="00DE743F"/>
    <w:rsid w:val="00DF2812"/>
    <w:rsid w:val="00DF2BC7"/>
    <w:rsid w:val="00DF6E61"/>
    <w:rsid w:val="00DF740B"/>
    <w:rsid w:val="00DF79AD"/>
    <w:rsid w:val="00E01504"/>
    <w:rsid w:val="00E020B0"/>
    <w:rsid w:val="00E031B7"/>
    <w:rsid w:val="00E042E1"/>
    <w:rsid w:val="00E04451"/>
    <w:rsid w:val="00E05380"/>
    <w:rsid w:val="00E12801"/>
    <w:rsid w:val="00E12DBC"/>
    <w:rsid w:val="00E15BFB"/>
    <w:rsid w:val="00E15EAE"/>
    <w:rsid w:val="00E17B67"/>
    <w:rsid w:val="00E20E51"/>
    <w:rsid w:val="00E23C91"/>
    <w:rsid w:val="00E26D2F"/>
    <w:rsid w:val="00E320B8"/>
    <w:rsid w:val="00E32A42"/>
    <w:rsid w:val="00E32C03"/>
    <w:rsid w:val="00E34481"/>
    <w:rsid w:val="00E344A0"/>
    <w:rsid w:val="00E344B5"/>
    <w:rsid w:val="00E36EDF"/>
    <w:rsid w:val="00E3702A"/>
    <w:rsid w:val="00E37DFC"/>
    <w:rsid w:val="00E40A9B"/>
    <w:rsid w:val="00E4439F"/>
    <w:rsid w:val="00E448E6"/>
    <w:rsid w:val="00E4492B"/>
    <w:rsid w:val="00E44E25"/>
    <w:rsid w:val="00E45086"/>
    <w:rsid w:val="00E4541C"/>
    <w:rsid w:val="00E455CB"/>
    <w:rsid w:val="00E459B2"/>
    <w:rsid w:val="00E4688C"/>
    <w:rsid w:val="00E469B1"/>
    <w:rsid w:val="00E47425"/>
    <w:rsid w:val="00E475B7"/>
    <w:rsid w:val="00E47AD4"/>
    <w:rsid w:val="00E50886"/>
    <w:rsid w:val="00E5230C"/>
    <w:rsid w:val="00E52F49"/>
    <w:rsid w:val="00E52F4D"/>
    <w:rsid w:val="00E554D8"/>
    <w:rsid w:val="00E55B89"/>
    <w:rsid w:val="00E625E0"/>
    <w:rsid w:val="00E65717"/>
    <w:rsid w:val="00E65EE9"/>
    <w:rsid w:val="00E71957"/>
    <w:rsid w:val="00E73461"/>
    <w:rsid w:val="00E7403F"/>
    <w:rsid w:val="00E75F39"/>
    <w:rsid w:val="00E7695A"/>
    <w:rsid w:val="00E817C6"/>
    <w:rsid w:val="00E829DA"/>
    <w:rsid w:val="00E84699"/>
    <w:rsid w:val="00E86488"/>
    <w:rsid w:val="00E87142"/>
    <w:rsid w:val="00E9034C"/>
    <w:rsid w:val="00E92E1C"/>
    <w:rsid w:val="00E97122"/>
    <w:rsid w:val="00E97D70"/>
    <w:rsid w:val="00EA05B2"/>
    <w:rsid w:val="00EA1949"/>
    <w:rsid w:val="00EA1F31"/>
    <w:rsid w:val="00EA3B65"/>
    <w:rsid w:val="00EA3D5B"/>
    <w:rsid w:val="00EA451C"/>
    <w:rsid w:val="00EA5A06"/>
    <w:rsid w:val="00EA67A8"/>
    <w:rsid w:val="00EA6C4D"/>
    <w:rsid w:val="00EA6FF6"/>
    <w:rsid w:val="00EB1001"/>
    <w:rsid w:val="00EB3D14"/>
    <w:rsid w:val="00EB3FA1"/>
    <w:rsid w:val="00EB5F41"/>
    <w:rsid w:val="00EB75F4"/>
    <w:rsid w:val="00EB79D8"/>
    <w:rsid w:val="00EC3EE0"/>
    <w:rsid w:val="00EC41F1"/>
    <w:rsid w:val="00EC51E5"/>
    <w:rsid w:val="00EC5598"/>
    <w:rsid w:val="00EC6DF6"/>
    <w:rsid w:val="00EC6F0D"/>
    <w:rsid w:val="00ED091F"/>
    <w:rsid w:val="00ED0DDE"/>
    <w:rsid w:val="00ED6AEC"/>
    <w:rsid w:val="00ED7F49"/>
    <w:rsid w:val="00EE0C2C"/>
    <w:rsid w:val="00EE6289"/>
    <w:rsid w:val="00EF003D"/>
    <w:rsid w:val="00EF07E0"/>
    <w:rsid w:val="00EF0A04"/>
    <w:rsid w:val="00EF1ED1"/>
    <w:rsid w:val="00EF3653"/>
    <w:rsid w:val="00EF4722"/>
    <w:rsid w:val="00EF4984"/>
    <w:rsid w:val="00EF4B1D"/>
    <w:rsid w:val="00EF4D47"/>
    <w:rsid w:val="00EF5A8C"/>
    <w:rsid w:val="00F0092F"/>
    <w:rsid w:val="00F012A8"/>
    <w:rsid w:val="00F0268A"/>
    <w:rsid w:val="00F04A12"/>
    <w:rsid w:val="00F07200"/>
    <w:rsid w:val="00F072CE"/>
    <w:rsid w:val="00F078C8"/>
    <w:rsid w:val="00F100F3"/>
    <w:rsid w:val="00F124F0"/>
    <w:rsid w:val="00F12D07"/>
    <w:rsid w:val="00F12E2A"/>
    <w:rsid w:val="00F134CC"/>
    <w:rsid w:val="00F13607"/>
    <w:rsid w:val="00F14B4A"/>
    <w:rsid w:val="00F1597E"/>
    <w:rsid w:val="00F176A2"/>
    <w:rsid w:val="00F17CDB"/>
    <w:rsid w:val="00F20B01"/>
    <w:rsid w:val="00F220F1"/>
    <w:rsid w:val="00F245E0"/>
    <w:rsid w:val="00F24F42"/>
    <w:rsid w:val="00F26941"/>
    <w:rsid w:val="00F27003"/>
    <w:rsid w:val="00F30A70"/>
    <w:rsid w:val="00F30AB9"/>
    <w:rsid w:val="00F30CFD"/>
    <w:rsid w:val="00F31B94"/>
    <w:rsid w:val="00F32011"/>
    <w:rsid w:val="00F33B78"/>
    <w:rsid w:val="00F33B8D"/>
    <w:rsid w:val="00F346DA"/>
    <w:rsid w:val="00F40F30"/>
    <w:rsid w:val="00F4203E"/>
    <w:rsid w:val="00F422E3"/>
    <w:rsid w:val="00F4287A"/>
    <w:rsid w:val="00F42FF1"/>
    <w:rsid w:val="00F4323A"/>
    <w:rsid w:val="00F438C8"/>
    <w:rsid w:val="00F43B36"/>
    <w:rsid w:val="00F46424"/>
    <w:rsid w:val="00F51518"/>
    <w:rsid w:val="00F51B3B"/>
    <w:rsid w:val="00F51F6C"/>
    <w:rsid w:val="00F53236"/>
    <w:rsid w:val="00F5396E"/>
    <w:rsid w:val="00F54F3F"/>
    <w:rsid w:val="00F54F97"/>
    <w:rsid w:val="00F5664F"/>
    <w:rsid w:val="00F625E5"/>
    <w:rsid w:val="00F6286D"/>
    <w:rsid w:val="00F65818"/>
    <w:rsid w:val="00F65B63"/>
    <w:rsid w:val="00F6735C"/>
    <w:rsid w:val="00F674EF"/>
    <w:rsid w:val="00F70EBD"/>
    <w:rsid w:val="00F71964"/>
    <w:rsid w:val="00F747C6"/>
    <w:rsid w:val="00F759D6"/>
    <w:rsid w:val="00F766B0"/>
    <w:rsid w:val="00F767F6"/>
    <w:rsid w:val="00F7776F"/>
    <w:rsid w:val="00F808D5"/>
    <w:rsid w:val="00F80DC8"/>
    <w:rsid w:val="00F816A0"/>
    <w:rsid w:val="00F84FEC"/>
    <w:rsid w:val="00F86A5F"/>
    <w:rsid w:val="00F879BC"/>
    <w:rsid w:val="00F9075F"/>
    <w:rsid w:val="00F90EE4"/>
    <w:rsid w:val="00F91996"/>
    <w:rsid w:val="00F92F67"/>
    <w:rsid w:val="00F93201"/>
    <w:rsid w:val="00F9359F"/>
    <w:rsid w:val="00F9574E"/>
    <w:rsid w:val="00F964DC"/>
    <w:rsid w:val="00FA12F1"/>
    <w:rsid w:val="00FA1D8D"/>
    <w:rsid w:val="00FA3047"/>
    <w:rsid w:val="00FA3DFB"/>
    <w:rsid w:val="00FA50C2"/>
    <w:rsid w:val="00FA5849"/>
    <w:rsid w:val="00FB0045"/>
    <w:rsid w:val="00FB0432"/>
    <w:rsid w:val="00FB154B"/>
    <w:rsid w:val="00FB35DF"/>
    <w:rsid w:val="00FB4465"/>
    <w:rsid w:val="00FB4568"/>
    <w:rsid w:val="00FB5768"/>
    <w:rsid w:val="00FC1CCD"/>
    <w:rsid w:val="00FC1CDE"/>
    <w:rsid w:val="00FC6FAD"/>
    <w:rsid w:val="00FC74F5"/>
    <w:rsid w:val="00FC77A1"/>
    <w:rsid w:val="00FD1461"/>
    <w:rsid w:val="00FD1901"/>
    <w:rsid w:val="00FD388F"/>
    <w:rsid w:val="00FD3DBC"/>
    <w:rsid w:val="00FD3EEC"/>
    <w:rsid w:val="00FD4F01"/>
    <w:rsid w:val="00FD515A"/>
    <w:rsid w:val="00FD74F0"/>
    <w:rsid w:val="00FD7BB6"/>
    <w:rsid w:val="00FE1643"/>
    <w:rsid w:val="00FE3D92"/>
    <w:rsid w:val="00FE65AC"/>
    <w:rsid w:val="00FE7A1A"/>
    <w:rsid w:val="00FF041E"/>
    <w:rsid w:val="00FF6162"/>
    <w:rsid w:val="00FF6256"/>
    <w:rsid w:val="00FF632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4393C1"/>
  <w15:chartTrackingRefBased/>
  <w15:docId w15:val="{C2BB17D1-A2E4-40A7-ABF8-BEC75673B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0C17"/>
    <w:pPr>
      <w:keepNext/>
      <w:keepLines/>
      <w:spacing w:before="360" w:after="80"/>
      <w:jc w:val="both"/>
      <w:outlineLvl w:val="0"/>
    </w:pPr>
    <w:rPr>
      <w:rFonts w:asciiTheme="majorHAnsi" w:eastAsiaTheme="majorEastAsia" w:hAnsiTheme="majorHAnsi" w:cstheme="majorBidi"/>
      <w:color w:val="0070C0"/>
      <w:sz w:val="40"/>
      <w:szCs w:val="40"/>
    </w:rPr>
  </w:style>
  <w:style w:type="paragraph" w:styleId="Heading2">
    <w:name w:val="heading 2"/>
    <w:basedOn w:val="Normal"/>
    <w:next w:val="Normal"/>
    <w:link w:val="Heading2Char"/>
    <w:uiPriority w:val="9"/>
    <w:unhideWhenUsed/>
    <w:qFormat/>
    <w:rsid w:val="00900C17"/>
    <w:pPr>
      <w:keepNext/>
      <w:keepLines/>
      <w:spacing w:before="160" w:after="80"/>
      <w:jc w:val="both"/>
      <w:outlineLvl w:val="1"/>
    </w:pPr>
    <w:rPr>
      <w:rFonts w:asciiTheme="majorHAnsi" w:eastAsiaTheme="majorEastAsia" w:hAnsiTheme="majorHAnsi" w:cstheme="majorBidi"/>
      <w:color w:val="0070C0"/>
      <w:sz w:val="32"/>
      <w:szCs w:val="32"/>
    </w:rPr>
  </w:style>
  <w:style w:type="paragraph" w:styleId="Heading3">
    <w:name w:val="heading 3"/>
    <w:basedOn w:val="Normal"/>
    <w:next w:val="Normal"/>
    <w:link w:val="Heading3Char"/>
    <w:uiPriority w:val="9"/>
    <w:unhideWhenUsed/>
    <w:qFormat/>
    <w:rsid w:val="00900C17"/>
    <w:pPr>
      <w:keepNext/>
      <w:keepLines/>
      <w:spacing w:before="160" w:after="80"/>
      <w:ind w:firstLine="720"/>
      <w:outlineLvl w:val="2"/>
    </w:pPr>
    <w:rPr>
      <w:rFonts w:eastAsiaTheme="majorEastAsia" w:cstheme="majorBidi"/>
      <w:color w:val="0070C0"/>
      <w:sz w:val="28"/>
      <w:szCs w:val="28"/>
    </w:rPr>
  </w:style>
  <w:style w:type="paragraph" w:styleId="Heading4">
    <w:name w:val="heading 4"/>
    <w:basedOn w:val="Normal"/>
    <w:next w:val="Normal"/>
    <w:link w:val="Heading4Char"/>
    <w:uiPriority w:val="9"/>
    <w:unhideWhenUsed/>
    <w:qFormat/>
    <w:rsid w:val="00BA162A"/>
    <w:pPr>
      <w:keepNext/>
      <w:keepLines/>
      <w:spacing w:before="80" w:after="40"/>
      <w:outlineLvl w:val="3"/>
    </w:pPr>
    <w:rPr>
      <w:rFonts w:eastAsiaTheme="majorEastAsia" w:cstheme="majorBidi"/>
      <w:i/>
      <w:iCs/>
      <w:color w:val="276E8B" w:themeColor="accent1" w:themeShade="BF"/>
    </w:rPr>
  </w:style>
  <w:style w:type="paragraph" w:styleId="Heading5">
    <w:name w:val="heading 5"/>
    <w:basedOn w:val="Normal"/>
    <w:next w:val="Normal"/>
    <w:link w:val="Heading5Char"/>
    <w:uiPriority w:val="9"/>
    <w:semiHidden/>
    <w:unhideWhenUsed/>
    <w:qFormat/>
    <w:rsid w:val="00BA162A"/>
    <w:pPr>
      <w:keepNext/>
      <w:keepLines/>
      <w:spacing w:before="80" w:after="40"/>
      <w:outlineLvl w:val="4"/>
    </w:pPr>
    <w:rPr>
      <w:rFonts w:eastAsiaTheme="majorEastAsia" w:cstheme="majorBidi"/>
      <w:color w:val="276E8B" w:themeColor="accent1" w:themeShade="BF"/>
    </w:rPr>
  </w:style>
  <w:style w:type="paragraph" w:styleId="Heading6">
    <w:name w:val="heading 6"/>
    <w:basedOn w:val="Normal"/>
    <w:next w:val="Normal"/>
    <w:link w:val="Heading6Char"/>
    <w:uiPriority w:val="9"/>
    <w:semiHidden/>
    <w:unhideWhenUsed/>
    <w:qFormat/>
    <w:rsid w:val="00BA16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16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16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16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C17"/>
    <w:rPr>
      <w:rFonts w:asciiTheme="majorHAnsi" w:eastAsiaTheme="majorEastAsia" w:hAnsiTheme="majorHAnsi" w:cstheme="majorBidi"/>
      <w:color w:val="0070C0"/>
      <w:sz w:val="40"/>
      <w:szCs w:val="40"/>
    </w:rPr>
  </w:style>
  <w:style w:type="character" w:customStyle="1" w:styleId="Heading2Char">
    <w:name w:val="Heading 2 Char"/>
    <w:basedOn w:val="DefaultParagraphFont"/>
    <w:link w:val="Heading2"/>
    <w:uiPriority w:val="9"/>
    <w:rsid w:val="00900C17"/>
    <w:rPr>
      <w:rFonts w:asciiTheme="majorHAnsi" w:eastAsiaTheme="majorEastAsia" w:hAnsiTheme="majorHAnsi" w:cstheme="majorBidi"/>
      <w:color w:val="0070C0"/>
      <w:sz w:val="32"/>
      <w:szCs w:val="32"/>
    </w:rPr>
  </w:style>
  <w:style w:type="character" w:customStyle="1" w:styleId="Heading3Char">
    <w:name w:val="Heading 3 Char"/>
    <w:basedOn w:val="DefaultParagraphFont"/>
    <w:link w:val="Heading3"/>
    <w:uiPriority w:val="9"/>
    <w:rsid w:val="00900C17"/>
    <w:rPr>
      <w:rFonts w:eastAsiaTheme="majorEastAsia" w:cstheme="majorBidi"/>
      <w:color w:val="0070C0"/>
      <w:sz w:val="28"/>
      <w:szCs w:val="28"/>
    </w:rPr>
  </w:style>
  <w:style w:type="character" w:customStyle="1" w:styleId="Heading4Char">
    <w:name w:val="Heading 4 Char"/>
    <w:basedOn w:val="DefaultParagraphFont"/>
    <w:link w:val="Heading4"/>
    <w:uiPriority w:val="9"/>
    <w:rsid w:val="00BA162A"/>
    <w:rPr>
      <w:rFonts w:eastAsiaTheme="majorEastAsia" w:cstheme="majorBidi"/>
      <w:i/>
      <w:iCs/>
      <w:color w:val="276E8B" w:themeColor="accent1" w:themeShade="BF"/>
    </w:rPr>
  </w:style>
  <w:style w:type="character" w:customStyle="1" w:styleId="Heading5Char">
    <w:name w:val="Heading 5 Char"/>
    <w:basedOn w:val="DefaultParagraphFont"/>
    <w:link w:val="Heading5"/>
    <w:uiPriority w:val="9"/>
    <w:semiHidden/>
    <w:rsid w:val="00BA162A"/>
    <w:rPr>
      <w:rFonts w:eastAsiaTheme="majorEastAsia" w:cstheme="majorBidi"/>
      <w:color w:val="276E8B" w:themeColor="accent1" w:themeShade="BF"/>
    </w:rPr>
  </w:style>
  <w:style w:type="character" w:customStyle="1" w:styleId="Heading6Char">
    <w:name w:val="Heading 6 Char"/>
    <w:basedOn w:val="DefaultParagraphFont"/>
    <w:link w:val="Heading6"/>
    <w:uiPriority w:val="9"/>
    <w:semiHidden/>
    <w:rsid w:val="00BA16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16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16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162A"/>
    <w:rPr>
      <w:rFonts w:eastAsiaTheme="majorEastAsia" w:cstheme="majorBidi"/>
      <w:color w:val="272727" w:themeColor="text1" w:themeTint="D8"/>
    </w:rPr>
  </w:style>
  <w:style w:type="paragraph" w:styleId="Title">
    <w:name w:val="Title"/>
    <w:basedOn w:val="Normal"/>
    <w:next w:val="Normal"/>
    <w:link w:val="TitleChar"/>
    <w:uiPriority w:val="10"/>
    <w:qFormat/>
    <w:rsid w:val="00BA16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16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16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16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162A"/>
    <w:pPr>
      <w:spacing w:before="160"/>
      <w:jc w:val="center"/>
    </w:pPr>
    <w:rPr>
      <w:i/>
      <w:iCs/>
      <w:color w:val="404040" w:themeColor="text1" w:themeTint="BF"/>
    </w:rPr>
  </w:style>
  <w:style w:type="character" w:customStyle="1" w:styleId="QuoteChar">
    <w:name w:val="Quote Char"/>
    <w:basedOn w:val="DefaultParagraphFont"/>
    <w:link w:val="Quote"/>
    <w:uiPriority w:val="29"/>
    <w:rsid w:val="00BA162A"/>
    <w:rPr>
      <w:i/>
      <w:iCs/>
      <w:color w:val="404040" w:themeColor="text1" w:themeTint="BF"/>
    </w:rPr>
  </w:style>
  <w:style w:type="paragraph" w:styleId="ListParagraph">
    <w:name w:val="List Paragraph"/>
    <w:basedOn w:val="Normal"/>
    <w:link w:val="ListParagraphChar"/>
    <w:uiPriority w:val="34"/>
    <w:qFormat/>
    <w:rsid w:val="00BA162A"/>
    <w:pPr>
      <w:ind w:left="720"/>
      <w:contextualSpacing/>
    </w:pPr>
  </w:style>
  <w:style w:type="character" w:styleId="IntenseEmphasis">
    <w:name w:val="Intense Emphasis"/>
    <w:basedOn w:val="DefaultParagraphFont"/>
    <w:uiPriority w:val="21"/>
    <w:qFormat/>
    <w:rsid w:val="00BA162A"/>
    <w:rPr>
      <w:i/>
      <w:iCs/>
      <w:color w:val="276E8B" w:themeColor="accent1" w:themeShade="BF"/>
    </w:rPr>
  </w:style>
  <w:style w:type="paragraph" w:styleId="IntenseQuote">
    <w:name w:val="Intense Quote"/>
    <w:basedOn w:val="Normal"/>
    <w:next w:val="Normal"/>
    <w:link w:val="IntenseQuoteChar"/>
    <w:uiPriority w:val="30"/>
    <w:qFormat/>
    <w:rsid w:val="00BA162A"/>
    <w:pPr>
      <w:pBdr>
        <w:top w:val="single" w:sz="4" w:space="10" w:color="276E8B" w:themeColor="accent1" w:themeShade="BF"/>
        <w:bottom w:val="single" w:sz="4" w:space="10" w:color="276E8B" w:themeColor="accent1" w:themeShade="BF"/>
      </w:pBdr>
      <w:spacing w:before="360" w:after="360"/>
      <w:ind w:left="864" w:right="864"/>
      <w:jc w:val="center"/>
    </w:pPr>
    <w:rPr>
      <w:i/>
      <w:iCs/>
      <w:color w:val="276E8B" w:themeColor="accent1" w:themeShade="BF"/>
    </w:rPr>
  </w:style>
  <w:style w:type="character" w:customStyle="1" w:styleId="IntenseQuoteChar">
    <w:name w:val="Intense Quote Char"/>
    <w:basedOn w:val="DefaultParagraphFont"/>
    <w:link w:val="IntenseQuote"/>
    <w:uiPriority w:val="30"/>
    <w:rsid w:val="00BA162A"/>
    <w:rPr>
      <w:i/>
      <w:iCs/>
      <w:color w:val="276E8B" w:themeColor="accent1" w:themeShade="BF"/>
    </w:rPr>
  </w:style>
  <w:style w:type="character" w:styleId="IntenseReference">
    <w:name w:val="Intense Reference"/>
    <w:basedOn w:val="DefaultParagraphFont"/>
    <w:uiPriority w:val="32"/>
    <w:qFormat/>
    <w:rsid w:val="00BA162A"/>
    <w:rPr>
      <w:b/>
      <w:bCs/>
      <w:smallCaps/>
      <w:color w:val="276E8B" w:themeColor="accent1" w:themeShade="BF"/>
      <w:spacing w:val="5"/>
    </w:rPr>
  </w:style>
  <w:style w:type="table" w:styleId="TableGrid">
    <w:name w:val="Table Grid"/>
    <w:basedOn w:val="TableNormal"/>
    <w:uiPriority w:val="59"/>
    <w:rsid w:val="009E1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4E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4E7F"/>
  </w:style>
  <w:style w:type="paragraph" w:styleId="Footer">
    <w:name w:val="footer"/>
    <w:basedOn w:val="Normal"/>
    <w:link w:val="FooterChar"/>
    <w:uiPriority w:val="99"/>
    <w:unhideWhenUsed/>
    <w:rsid w:val="007F4E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4E7F"/>
  </w:style>
  <w:style w:type="character" w:styleId="Hyperlink">
    <w:name w:val="Hyperlink"/>
    <w:basedOn w:val="DefaultParagraphFont"/>
    <w:uiPriority w:val="99"/>
    <w:unhideWhenUsed/>
    <w:rsid w:val="002906E9"/>
    <w:rPr>
      <w:color w:val="6B9F25" w:themeColor="hyperlink"/>
      <w:u w:val="single"/>
    </w:rPr>
  </w:style>
  <w:style w:type="character" w:styleId="UnresolvedMention">
    <w:name w:val="Unresolved Mention"/>
    <w:basedOn w:val="DefaultParagraphFont"/>
    <w:uiPriority w:val="99"/>
    <w:semiHidden/>
    <w:unhideWhenUsed/>
    <w:rsid w:val="002906E9"/>
    <w:rPr>
      <w:color w:val="605E5C"/>
      <w:shd w:val="clear" w:color="auto" w:fill="E1DFDD"/>
    </w:rPr>
  </w:style>
  <w:style w:type="character" w:styleId="CommentReference">
    <w:name w:val="annotation reference"/>
    <w:basedOn w:val="DefaultParagraphFont"/>
    <w:uiPriority w:val="99"/>
    <w:semiHidden/>
    <w:unhideWhenUsed/>
    <w:rsid w:val="001E6955"/>
    <w:rPr>
      <w:sz w:val="16"/>
      <w:szCs w:val="16"/>
    </w:rPr>
  </w:style>
  <w:style w:type="paragraph" w:styleId="CommentText">
    <w:name w:val="annotation text"/>
    <w:basedOn w:val="Normal"/>
    <w:link w:val="CommentTextChar"/>
    <w:uiPriority w:val="99"/>
    <w:unhideWhenUsed/>
    <w:rsid w:val="001E6955"/>
    <w:pPr>
      <w:spacing w:line="240" w:lineRule="auto"/>
    </w:pPr>
    <w:rPr>
      <w:sz w:val="20"/>
      <w:szCs w:val="20"/>
    </w:rPr>
  </w:style>
  <w:style w:type="character" w:customStyle="1" w:styleId="CommentTextChar">
    <w:name w:val="Comment Text Char"/>
    <w:basedOn w:val="DefaultParagraphFont"/>
    <w:link w:val="CommentText"/>
    <w:uiPriority w:val="99"/>
    <w:rsid w:val="001E6955"/>
    <w:rPr>
      <w:sz w:val="20"/>
      <w:szCs w:val="20"/>
    </w:rPr>
  </w:style>
  <w:style w:type="paragraph" w:styleId="CommentSubject">
    <w:name w:val="annotation subject"/>
    <w:basedOn w:val="CommentText"/>
    <w:next w:val="CommentText"/>
    <w:link w:val="CommentSubjectChar"/>
    <w:uiPriority w:val="99"/>
    <w:semiHidden/>
    <w:unhideWhenUsed/>
    <w:rsid w:val="001E6955"/>
    <w:rPr>
      <w:b/>
      <w:bCs/>
    </w:rPr>
  </w:style>
  <w:style w:type="character" w:customStyle="1" w:styleId="CommentSubjectChar">
    <w:name w:val="Comment Subject Char"/>
    <w:basedOn w:val="CommentTextChar"/>
    <w:link w:val="CommentSubject"/>
    <w:uiPriority w:val="99"/>
    <w:semiHidden/>
    <w:rsid w:val="001E6955"/>
    <w:rPr>
      <w:b/>
      <w:bCs/>
      <w:sz w:val="20"/>
      <w:szCs w:val="20"/>
    </w:rPr>
  </w:style>
  <w:style w:type="character" w:styleId="Mention">
    <w:name w:val="Mention"/>
    <w:basedOn w:val="DefaultParagraphFont"/>
    <w:uiPriority w:val="99"/>
    <w:unhideWhenUsed/>
    <w:rsid w:val="001E6955"/>
    <w:rPr>
      <w:color w:val="2B579A"/>
      <w:shd w:val="clear" w:color="auto" w:fill="E1DFDD"/>
    </w:rPr>
  </w:style>
  <w:style w:type="character" w:styleId="FollowedHyperlink">
    <w:name w:val="FollowedHyperlink"/>
    <w:basedOn w:val="DefaultParagraphFont"/>
    <w:uiPriority w:val="99"/>
    <w:semiHidden/>
    <w:unhideWhenUsed/>
    <w:rsid w:val="00943155"/>
    <w:rPr>
      <w:color w:val="9F6715" w:themeColor="followedHyperlink"/>
      <w:u w:val="single"/>
    </w:rPr>
  </w:style>
  <w:style w:type="paragraph" w:customStyle="1" w:styleId="Default">
    <w:name w:val="Default"/>
    <w:rsid w:val="00186BB2"/>
    <w:pPr>
      <w:autoSpaceDE w:val="0"/>
      <w:autoSpaceDN w:val="0"/>
      <w:adjustRightInd w:val="0"/>
      <w:spacing w:after="0" w:line="240" w:lineRule="auto"/>
    </w:pPr>
    <w:rPr>
      <w:rFonts w:ascii="Century Gothic" w:hAnsi="Century Gothic" w:cs="Century Gothic"/>
      <w:color w:val="000000"/>
      <w:kern w:val="0"/>
      <w:sz w:val="24"/>
      <w:szCs w:val="24"/>
    </w:rPr>
  </w:style>
  <w:style w:type="table" w:styleId="ListTable3-Accent1">
    <w:name w:val="List Table 3 Accent 1"/>
    <w:basedOn w:val="TableNormal"/>
    <w:uiPriority w:val="48"/>
    <w:rsid w:val="00B6277B"/>
    <w:pPr>
      <w:spacing w:after="0" w:line="240" w:lineRule="auto"/>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paragraph" w:styleId="Revision">
    <w:name w:val="Revision"/>
    <w:hidden/>
    <w:uiPriority w:val="99"/>
    <w:semiHidden/>
    <w:rsid w:val="00B635DE"/>
    <w:pPr>
      <w:spacing w:after="0" w:line="240" w:lineRule="auto"/>
    </w:pPr>
  </w:style>
  <w:style w:type="paragraph" w:styleId="Caption">
    <w:name w:val="caption"/>
    <w:basedOn w:val="Normal"/>
    <w:next w:val="Normal"/>
    <w:uiPriority w:val="35"/>
    <w:unhideWhenUsed/>
    <w:qFormat/>
    <w:rsid w:val="00273928"/>
    <w:pPr>
      <w:spacing w:after="200" w:line="240" w:lineRule="auto"/>
    </w:pPr>
    <w:rPr>
      <w:i/>
      <w:iCs/>
      <w:color w:val="373545" w:themeColor="text2"/>
      <w:sz w:val="18"/>
      <w:szCs w:val="18"/>
    </w:rPr>
  </w:style>
  <w:style w:type="paragraph" w:styleId="FootnoteText">
    <w:name w:val="footnote text"/>
    <w:basedOn w:val="Normal"/>
    <w:link w:val="FootnoteTextChar"/>
    <w:uiPriority w:val="99"/>
    <w:semiHidden/>
    <w:unhideWhenUsed/>
    <w:rsid w:val="00BE1B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1BD1"/>
    <w:rPr>
      <w:sz w:val="20"/>
      <w:szCs w:val="20"/>
    </w:rPr>
  </w:style>
  <w:style w:type="character" w:styleId="FootnoteReference">
    <w:name w:val="footnote reference"/>
    <w:basedOn w:val="DefaultParagraphFont"/>
    <w:uiPriority w:val="99"/>
    <w:semiHidden/>
    <w:unhideWhenUsed/>
    <w:rsid w:val="00BE1BD1"/>
    <w:rPr>
      <w:vertAlign w:val="superscript"/>
    </w:rPr>
  </w:style>
  <w:style w:type="paragraph" w:styleId="NoSpacing">
    <w:name w:val="No Spacing"/>
    <w:link w:val="NoSpacingChar"/>
    <w:uiPriority w:val="1"/>
    <w:qFormat/>
    <w:rsid w:val="00FA3DFB"/>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FA3DFB"/>
    <w:rPr>
      <w:rFonts w:eastAsiaTheme="minorEastAsia"/>
      <w:kern w:val="0"/>
      <w:lang w:val="en-US"/>
      <w14:ligatures w14:val="none"/>
    </w:rPr>
  </w:style>
  <w:style w:type="paragraph" w:styleId="NormalWeb">
    <w:name w:val="Normal (Web)"/>
    <w:basedOn w:val="Normal"/>
    <w:uiPriority w:val="99"/>
    <w:unhideWhenUsed/>
    <w:rsid w:val="00126EB9"/>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ListParagraphChar">
    <w:name w:val="List Paragraph Char"/>
    <w:basedOn w:val="DefaultParagraphFont"/>
    <w:link w:val="ListParagraph"/>
    <w:uiPriority w:val="34"/>
    <w:locked/>
    <w:rsid w:val="00126EB9"/>
  </w:style>
  <w:style w:type="paragraph" w:styleId="TOCHeading">
    <w:name w:val="TOC Heading"/>
    <w:basedOn w:val="Heading1"/>
    <w:next w:val="Normal"/>
    <w:uiPriority w:val="39"/>
    <w:unhideWhenUsed/>
    <w:qFormat/>
    <w:rsid w:val="00E3702A"/>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E3702A"/>
    <w:pPr>
      <w:spacing w:after="100"/>
    </w:pPr>
  </w:style>
  <w:style w:type="paragraph" w:styleId="TOC2">
    <w:name w:val="toc 2"/>
    <w:basedOn w:val="Normal"/>
    <w:next w:val="Normal"/>
    <w:autoRedefine/>
    <w:uiPriority w:val="39"/>
    <w:unhideWhenUsed/>
    <w:rsid w:val="00E3702A"/>
    <w:pPr>
      <w:spacing w:after="100"/>
      <w:ind w:left="220"/>
    </w:pPr>
  </w:style>
  <w:style w:type="paragraph" w:styleId="TOC3">
    <w:name w:val="toc 3"/>
    <w:basedOn w:val="Normal"/>
    <w:next w:val="Normal"/>
    <w:autoRedefine/>
    <w:uiPriority w:val="39"/>
    <w:unhideWhenUsed/>
    <w:rsid w:val="00E3702A"/>
    <w:pPr>
      <w:spacing w:after="100"/>
      <w:ind w:left="440"/>
    </w:pPr>
  </w:style>
  <w:style w:type="paragraph" w:styleId="BalloonText">
    <w:name w:val="Balloon Text"/>
    <w:basedOn w:val="Normal"/>
    <w:link w:val="BalloonTextChar"/>
    <w:uiPriority w:val="99"/>
    <w:semiHidden/>
    <w:unhideWhenUsed/>
    <w:rsid w:val="00B55A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A9C"/>
    <w:rPr>
      <w:rFonts w:ascii="Segoe UI" w:hAnsi="Segoe UI" w:cs="Segoe UI"/>
      <w:sz w:val="18"/>
      <w:szCs w:val="18"/>
    </w:rPr>
  </w:style>
  <w:style w:type="paragraph" w:styleId="Bibliography">
    <w:name w:val="Bibliography"/>
    <w:basedOn w:val="Normal"/>
    <w:next w:val="Normal"/>
    <w:uiPriority w:val="37"/>
    <w:semiHidden/>
    <w:unhideWhenUsed/>
    <w:rsid w:val="00B55A9C"/>
  </w:style>
  <w:style w:type="paragraph" w:styleId="BlockText">
    <w:name w:val="Block Text"/>
    <w:basedOn w:val="Normal"/>
    <w:uiPriority w:val="99"/>
    <w:semiHidden/>
    <w:unhideWhenUsed/>
    <w:rsid w:val="00B55A9C"/>
    <w:pPr>
      <w:pBdr>
        <w:top w:val="single" w:sz="2" w:space="10" w:color="3494BA" w:themeColor="accent1"/>
        <w:left w:val="single" w:sz="2" w:space="10" w:color="3494BA" w:themeColor="accent1"/>
        <w:bottom w:val="single" w:sz="2" w:space="10" w:color="3494BA" w:themeColor="accent1"/>
        <w:right w:val="single" w:sz="2" w:space="10" w:color="3494BA" w:themeColor="accent1"/>
      </w:pBdr>
      <w:ind w:left="1152" w:right="1152"/>
    </w:pPr>
    <w:rPr>
      <w:rFonts w:eastAsiaTheme="minorEastAsia"/>
      <w:i/>
      <w:iCs/>
      <w:color w:val="3494BA" w:themeColor="accent1"/>
    </w:rPr>
  </w:style>
  <w:style w:type="paragraph" w:styleId="BodyText">
    <w:name w:val="Body Text"/>
    <w:basedOn w:val="Normal"/>
    <w:link w:val="BodyTextChar"/>
    <w:uiPriority w:val="99"/>
    <w:semiHidden/>
    <w:unhideWhenUsed/>
    <w:rsid w:val="00B55A9C"/>
    <w:pPr>
      <w:spacing w:after="120"/>
    </w:pPr>
  </w:style>
  <w:style w:type="character" w:customStyle="1" w:styleId="BodyTextChar">
    <w:name w:val="Body Text Char"/>
    <w:basedOn w:val="DefaultParagraphFont"/>
    <w:link w:val="BodyText"/>
    <w:uiPriority w:val="99"/>
    <w:semiHidden/>
    <w:rsid w:val="00B55A9C"/>
  </w:style>
  <w:style w:type="paragraph" w:styleId="BodyText2">
    <w:name w:val="Body Text 2"/>
    <w:basedOn w:val="Normal"/>
    <w:link w:val="BodyText2Char"/>
    <w:uiPriority w:val="99"/>
    <w:semiHidden/>
    <w:unhideWhenUsed/>
    <w:rsid w:val="00B55A9C"/>
    <w:pPr>
      <w:spacing w:after="120" w:line="480" w:lineRule="auto"/>
    </w:pPr>
  </w:style>
  <w:style w:type="character" w:customStyle="1" w:styleId="BodyText2Char">
    <w:name w:val="Body Text 2 Char"/>
    <w:basedOn w:val="DefaultParagraphFont"/>
    <w:link w:val="BodyText2"/>
    <w:uiPriority w:val="99"/>
    <w:semiHidden/>
    <w:rsid w:val="00B55A9C"/>
  </w:style>
  <w:style w:type="paragraph" w:styleId="BodyText3">
    <w:name w:val="Body Text 3"/>
    <w:basedOn w:val="Normal"/>
    <w:link w:val="BodyText3Char"/>
    <w:uiPriority w:val="99"/>
    <w:semiHidden/>
    <w:unhideWhenUsed/>
    <w:rsid w:val="00B55A9C"/>
    <w:pPr>
      <w:spacing w:after="120"/>
    </w:pPr>
    <w:rPr>
      <w:sz w:val="16"/>
      <w:szCs w:val="16"/>
    </w:rPr>
  </w:style>
  <w:style w:type="character" w:customStyle="1" w:styleId="BodyText3Char">
    <w:name w:val="Body Text 3 Char"/>
    <w:basedOn w:val="DefaultParagraphFont"/>
    <w:link w:val="BodyText3"/>
    <w:uiPriority w:val="99"/>
    <w:semiHidden/>
    <w:rsid w:val="00B55A9C"/>
    <w:rPr>
      <w:sz w:val="16"/>
      <w:szCs w:val="16"/>
    </w:rPr>
  </w:style>
  <w:style w:type="paragraph" w:styleId="BodyTextFirstIndent">
    <w:name w:val="Body Text First Indent"/>
    <w:basedOn w:val="BodyText"/>
    <w:link w:val="BodyTextFirstIndentChar"/>
    <w:uiPriority w:val="99"/>
    <w:semiHidden/>
    <w:unhideWhenUsed/>
    <w:rsid w:val="00B55A9C"/>
    <w:pPr>
      <w:spacing w:after="160"/>
      <w:ind w:firstLine="360"/>
    </w:pPr>
  </w:style>
  <w:style w:type="character" w:customStyle="1" w:styleId="BodyTextFirstIndentChar">
    <w:name w:val="Body Text First Indent Char"/>
    <w:basedOn w:val="BodyTextChar"/>
    <w:link w:val="BodyTextFirstIndent"/>
    <w:uiPriority w:val="99"/>
    <w:semiHidden/>
    <w:rsid w:val="00B55A9C"/>
  </w:style>
  <w:style w:type="paragraph" w:styleId="BodyTextIndent">
    <w:name w:val="Body Text Indent"/>
    <w:basedOn w:val="Normal"/>
    <w:link w:val="BodyTextIndentChar"/>
    <w:uiPriority w:val="99"/>
    <w:semiHidden/>
    <w:unhideWhenUsed/>
    <w:rsid w:val="00B55A9C"/>
    <w:pPr>
      <w:spacing w:after="120"/>
      <w:ind w:left="283"/>
    </w:pPr>
  </w:style>
  <w:style w:type="character" w:customStyle="1" w:styleId="BodyTextIndentChar">
    <w:name w:val="Body Text Indent Char"/>
    <w:basedOn w:val="DefaultParagraphFont"/>
    <w:link w:val="BodyTextIndent"/>
    <w:uiPriority w:val="99"/>
    <w:semiHidden/>
    <w:rsid w:val="00B55A9C"/>
  </w:style>
  <w:style w:type="paragraph" w:styleId="BodyTextFirstIndent2">
    <w:name w:val="Body Text First Indent 2"/>
    <w:basedOn w:val="BodyTextIndent"/>
    <w:link w:val="BodyTextFirstIndent2Char"/>
    <w:uiPriority w:val="99"/>
    <w:semiHidden/>
    <w:unhideWhenUsed/>
    <w:rsid w:val="00B55A9C"/>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55A9C"/>
  </w:style>
  <w:style w:type="paragraph" w:styleId="BodyTextIndent2">
    <w:name w:val="Body Text Indent 2"/>
    <w:basedOn w:val="Normal"/>
    <w:link w:val="BodyTextIndent2Char"/>
    <w:uiPriority w:val="99"/>
    <w:semiHidden/>
    <w:unhideWhenUsed/>
    <w:rsid w:val="00B55A9C"/>
    <w:pPr>
      <w:spacing w:after="120" w:line="480" w:lineRule="auto"/>
      <w:ind w:left="283"/>
    </w:pPr>
  </w:style>
  <w:style w:type="character" w:customStyle="1" w:styleId="BodyTextIndent2Char">
    <w:name w:val="Body Text Indent 2 Char"/>
    <w:basedOn w:val="DefaultParagraphFont"/>
    <w:link w:val="BodyTextIndent2"/>
    <w:uiPriority w:val="99"/>
    <w:semiHidden/>
    <w:rsid w:val="00B55A9C"/>
  </w:style>
  <w:style w:type="paragraph" w:styleId="BodyTextIndent3">
    <w:name w:val="Body Text Indent 3"/>
    <w:basedOn w:val="Normal"/>
    <w:link w:val="BodyTextIndent3Char"/>
    <w:uiPriority w:val="99"/>
    <w:semiHidden/>
    <w:unhideWhenUsed/>
    <w:rsid w:val="00B55A9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55A9C"/>
    <w:rPr>
      <w:sz w:val="16"/>
      <w:szCs w:val="16"/>
    </w:rPr>
  </w:style>
  <w:style w:type="paragraph" w:styleId="Closing">
    <w:name w:val="Closing"/>
    <w:basedOn w:val="Normal"/>
    <w:link w:val="ClosingChar"/>
    <w:uiPriority w:val="99"/>
    <w:semiHidden/>
    <w:unhideWhenUsed/>
    <w:rsid w:val="00B55A9C"/>
    <w:pPr>
      <w:spacing w:after="0" w:line="240" w:lineRule="auto"/>
      <w:ind w:left="4252"/>
    </w:pPr>
  </w:style>
  <w:style w:type="character" w:customStyle="1" w:styleId="ClosingChar">
    <w:name w:val="Closing Char"/>
    <w:basedOn w:val="DefaultParagraphFont"/>
    <w:link w:val="Closing"/>
    <w:uiPriority w:val="99"/>
    <w:semiHidden/>
    <w:rsid w:val="00B55A9C"/>
  </w:style>
  <w:style w:type="paragraph" w:styleId="Date">
    <w:name w:val="Date"/>
    <w:basedOn w:val="Normal"/>
    <w:next w:val="Normal"/>
    <w:link w:val="DateChar"/>
    <w:uiPriority w:val="99"/>
    <w:semiHidden/>
    <w:unhideWhenUsed/>
    <w:rsid w:val="00B55A9C"/>
  </w:style>
  <w:style w:type="character" w:customStyle="1" w:styleId="DateChar">
    <w:name w:val="Date Char"/>
    <w:basedOn w:val="DefaultParagraphFont"/>
    <w:link w:val="Date"/>
    <w:uiPriority w:val="99"/>
    <w:semiHidden/>
    <w:rsid w:val="00B55A9C"/>
  </w:style>
  <w:style w:type="paragraph" w:styleId="DocumentMap">
    <w:name w:val="Document Map"/>
    <w:basedOn w:val="Normal"/>
    <w:link w:val="DocumentMapChar"/>
    <w:uiPriority w:val="99"/>
    <w:semiHidden/>
    <w:unhideWhenUsed/>
    <w:rsid w:val="00B55A9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55A9C"/>
    <w:rPr>
      <w:rFonts w:ascii="Segoe UI" w:hAnsi="Segoe UI" w:cs="Segoe UI"/>
      <w:sz w:val="16"/>
      <w:szCs w:val="16"/>
    </w:rPr>
  </w:style>
  <w:style w:type="paragraph" w:styleId="EmailSignature">
    <w:name w:val="E-mail Signature"/>
    <w:basedOn w:val="Normal"/>
    <w:link w:val="EmailSignatureChar"/>
    <w:uiPriority w:val="99"/>
    <w:semiHidden/>
    <w:unhideWhenUsed/>
    <w:rsid w:val="00B55A9C"/>
    <w:pPr>
      <w:spacing w:after="0" w:line="240" w:lineRule="auto"/>
    </w:pPr>
  </w:style>
  <w:style w:type="character" w:customStyle="1" w:styleId="EmailSignatureChar">
    <w:name w:val="Email Signature Char"/>
    <w:basedOn w:val="DefaultParagraphFont"/>
    <w:link w:val="EmailSignature"/>
    <w:uiPriority w:val="99"/>
    <w:semiHidden/>
    <w:rsid w:val="00B55A9C"/>
  </w:style>
  <w:style w:type="paragraph" w:styleId="EndnoteText">
    <w:name w:val="endnote text"/>
    <w:basedOn w:val="Normal"/>
    <w:link w:val="EndnoteTextChar"/>
    <w:uiPriority w:val="99"/>
    <w:semiHidden/>
    <w:unhideWhenUsed/>
    <w:rsid w:val="00B55A9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55A9C"/>
    <w:rPr>
      <w:sz w:val="20"/>
      <w:szCs w:val="20"/>
    </w:rPr>
  </w:style>
  <w:style w:type="paragraph" w:styleId="EnvelopeAddress">
    <w:name w:val="envelope address"/>
    <w:basedOn w:val="Normal"/>
    <w:uiPriority w:val="99"/>
    <w:semiHidden/>
    <w:unhideWhenUsed/>
    <w:rsid w:val="00B55A9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55A9C"/>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B55A9C"/>
    <w:pPr>
      <w:spacing w:after="0" w:line="240" w:lineRule="auto"/>
    </w:pPr>
    <w:rPr>
      <w:i/>
      <w:iCs/>
    </w:rPr>
  </w:style>
  <w:style w:type="character" w:customStyle="1" w:styleId="HTMLAddressChar">
    <w:name w:val="HTML Address Char"/>
    <w:basedOn w:val="DefaultParagraphFont"/>
    <w:link w:val="HTMLAddress"/>
    <w:uiPriority w:val="99"/>
    <w:semiHidden/>
    <w:rsid w:val="00B55A9C"/>
    <w:rPr>
      <w:i/>
      <w:iCs/>
    </w:rPr>
  </w:style>
  <w:style w:type="paragraph" w:styleId="HTMLPreformatted">
    <w:name w:val="HTML Preformatted"/>
    <w:basedOn w:val="Normal"/>
    <w:link w:val="HTMLPreformattedChar"/>
    <w:uiPriority w:val="99"/>
    <w:semiHidden/>
    <w:unhideWhenUsed/>
    <w:rsid w:val="00B55A9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55A9C"/>
    <w:rPr>
      <w:rFonts w:ascii="Consolas" w:hAnsi="Consolas"/>
      <w:sz w:val="20"/>
      <w:szCs w:val="20"/>
    </w:rPr>
  </w:style>
  <w:style w:type="paragraph" w:styleId="Index1">
    <w:name w:val="index 1"/>
    <w:basedOn w:val="Normal"/>
    <w:next w:val="Normal"/>
    <w:autoRedefine/>
    <w:uiPriority w:val="99"/>
    <w:semiHidden/>
    <w:unhideWhenUsed/>
    <w:rsid w:val="00B55A9C"/>
    <w:pPr>
      <w:spacing w:after="0" w:line="240" w:lineRule="auto"/>
      <w:ind w:left="220" w:hanging="220"/>
    </w:pPr>
  </w:style>
  <w:style w:type="paragraph" w:styleId="Index2">
    <w:name w:val="index 2"/>
    <w:basedOn w:val="Normal"/>
    <w:next w:val="Normal"/>
    <w:autoRedefine/>
    <w:uiPriority w:val="99"/>
    <w:semiHidden/>
    <w:unhideWhenUsed/>
    <w:rsid w:val="00B55A9C"/>
    <w:pPr>
      <w:spacing w:after="0" w:line="240" w:lineRule="auto"/>
      <w:ind w:left="440" w:hanging="220"/>
    </w:pPr>
  </w:style>
  <w:style w:type="paragraph" w:styleId="Index3">
    <w:name w:val="index 3"/>
    <w:basedOn w:val="Normal"/>
    <w:next w:val="Normal"/>
    <w:autoRedefine/>
    <w:uiPriority w:val="99"/>
    <w:semiHidden/>
    <w:unhideWhenUsed/>
    <w:rsid w:val="00B55A9C"/>
    <w:pPr>
      <w:spacing w:after="0" w:line="240" w:lineRule="auto"/>
      <w:ind w:left="660" w:hanging="220"/>
    </w:pPr>
  </w:style>
  <w:style w:type="paragraph" w:styleId="Index4">
    <w:name w:val="index 4"/>
    <w:basedOn w:val="Normal"/>
    <w:next w:val="Normal"/>
    <w:autoRedefine/>
    <w:uiPriority w:val="99"/>
    <w:semiHidden/>
    <w:unhideWhenUsed/>
    <w:rsid w:val="00B55A9C"/>
    <w:pPr>
      <w:spacing w:after="0" w:line="240" w:lineRule="auto"/>
      <w:ind w:left="880" w:hanging="220"/>
    </w:pPr>
  </w:style>
  <w:style w:type="paragraph" w:styleId="Index5">
    <w:name w:val="index 5"/>
    <w:basedOn w:val="Normal"/>
    <w:next w:val="Normal"/>
    <w:autoRedefine/>
    <w:uiPriority w:val="99"/>
    <w:semiHidden/>
    <w:unhideWhenUsed/>
    <w:rsid w:val="00B55A9C"/>
    <w:pPr>
      <w:spacing w:after="0" w:line="240" w:lineRule="auto"/>
      <w:ind w:left="1100" w:hanging="220"/>
    </w:pPr>
  </w:style>
  <w:style w:type="paragraph" w:styleId="Index6">
    <w:name w:val="index 6"/>
    <w:basedOn w:val="Normal"/>
    <w:next w:val="Normal"/>
    <w:autoRedefine/>
    <w:uiPriority w:val="99"/>
    <w:semiHidden/>
    <w:unhideWhenUsed/>
    <w:rsid w:val="00B55A9C"/>
    <w:pPr>
      <w:spacing w:after="0" w:line="240" w:lineRule="auto"/>
      <w:ind w:left="1320" w:hanging="220"/>
    </w:pPr>
  </w:style>
  <w:style w:type="paragraph" w:styleId="Index7">
    <w:name w:val="index 7"/>
    <w:basedOn w:val="Normal"/>
    <w:next w:val="Normal"/>
    <w:autoRedefine/>
    <w:uiPriority w:val="99"/>
    <w:semiHidden/>
    <w:unhideWhenUsed/>
    <w:rsid w:val="00B55A9C"/>
    <w:pPr>
      <w:spacing w:after="0" w:line="240" w:lineRule="auto"/>
      <w:ind w:left="1540" w:hanging="220"/>
    </w:pPr>
  </w:style>
  <w:style w:type="paragraph" w:styleId="Index8">
    <w:name w:val="index 8"/>
    <w:basedOn w:val="Normal"/>
    <w:next w:val="Normal"/>
    <w:autoRedefine/>
    <w:uiPriority w:val="99"/>
    <w:semiHidden/>
    <w:unhideWhenUsed/>
    <w:rsid w:val="00B55A9C"/>
    <w:pPr>
      <w:spacing w:after="0" w:line="240" w:lineRule="auto"/>
      <w:ind w:left="1760" w:hanging="220"/>
    </w:pPr>
  </w:style>
  <w:style w:type="paragraph" w:styleId="Index9">
    <w:name w:val="index 9"/>
    <w:basedOn w:val="Normal"/>
    <w:next w:val="Normal"/>
    <w:autoRedefine/>
    <w:uiPriority w:val="99"/>
    <w:semiHidden/>
    <w:unhideWhenUsed/>
    <w:rsid w:val="00B55A9C"/>
    <w:pPr>
      <w:spacing w:after="0" w:line="240" w:lineRule="auto"/>
      <w:ind w:left="1980" w:hanging="220"/>
    </w:pPr>
  </w:style>
  <w:style w:type="paragraph" w:styleId="IndexHeading">
    <w:name w:val="index heading"/>
    <w:basedOn w:val="Normal"/>
    <w:next w:val="Index1"/>
    <w:uiPriority w:val="99"/>
    <w:semiHidden/>
    <w:unhideWhenUsed/>
    <w:rsid w:val="00B55A9C"/>
    <w:rPr>
      <w:rFonts w:asciiTheme="majorHAnsi" w:eastAsiaTheme="majorEastAsia" w:hAnsiTheme="majorHAnsi" w:cstheme="majorBidi"/>
      <w:b/>
      <w:bCs/>
    </w:rPr>
  </w:style>
  <w:style w:type="paragraph" w:styleId="List">
    <w:name w:val="List"/>
    <w:basedOn w:val="Normal"/>
    <w:uiPriority w:val="99"/>
    <w:semiHidden/>
    <w:unhideWhenUsed/>
    <w:rsid w:val="00B55A9C"/>
    <w:pPr>
      <w:ind w:left="283" w:hanging="283"/>
      <w:contextualSpacing/>
    </w:pPr>
  </w:style>
  <w:style w:type="paragraph" w:styleId="List2">
    <w:name w:val="List 2"/>
    <w:basedOn w:val="Normal"/>
    <w:uiPriority w:val="99"/>
    <w:semiHidden/>
    <w:unhideWhenUsed/>
    <w:rsid w:val="00B55A9C"/>
    <w:pPr>
      <w:ind w:left="566" w:hanging="283"/>
      <w:contextualSpacing/>
    </w:pPr>
  </w:style>
  <w:style w:type="paragraph" w:styleId="List3">
    <w:name w:val="List 3"/>
    <w:basedOn w:val="Normal"/>
    <w:uiPriority w:val="99"/>
    <w:semiHidden/>
    <w:unhideWhenUsed/>
    <w:rsid w:val="00B55A9C"/>
    <w:pPr>
      <w:ind w:left="849" w:hanging="283"/>
      <w:contextualSpacing/>
    </w:pPr>
  </w:style>
  <w:style w:type="paragraph" w:styleId="List4">
    <w:name w:val="List 4"/>
    <w:basedOn w:val="Normal"/>
    <w:uiPriority w:val="99"/>
    <w:semiHidden/>
    <w:unhideWhenUsed/>
    <w:rsid w:val="00B55A9C"/>
    <w:pPr>
      <w:ind w:left="1132" w:hanging="283"/>
      <w:contextualSpacing/>
    </w:pPr>
  </w:style>
  <w:style w:type="paragraph" w:styleId="List5">
    <w:name w:val="List 5"/>
    <w:basedOn w:val="Normal"/>
    <w:uiPriority w:val="99"/>
    <w:semiHidden/>
    <w:unhideWhenUsed/>
    <w:rsid w:val="00B55A9C"/>
    <w:pPr>
      <w:ind w:left="1415" w:hanging="283"/>
      <w:contextualSpacing/>
    </w:pPr>
  </w:style>
  <w:style w:type="paragraph" w:styleId="ListBullet">
    <w:name w:val="List Bullet"/>
    <w:basedOn w:val="Normal"/>
    <w:uiPriority w:val="99"/>
    <w:semiHidden/>
    <w:unhideWhenUsed/>
    <w:rsid w:val="00B55A9C"/>
    <w:pPr>
      <w:numPr>
        <w:numId w:val="25"/>
      </w:numPr>
      <w:contextualSpacing/>
    </w:pPr>
  </w:style>
  <w:style w:type="paragraph" w:styleId="ListBullet2">
    <w:name w:val="List Bullet 2"/>
    <w:basedOn w:val="Normal"/>
    <w:uiPriority w:val="99"/>
    <w:semiHidden/>
    <w:unhideWhenUsed/>
    <w:rsid w:val="00B55A9C"/>
    <w:pPr>
      <w:numPr>
        <w:numId w:val="26"/>
      </w:numPr>
      <w:contextualSpacing/>
    </w:pPr>
  </w:style>
  <w:style w:type="paragraph" w:styleId="ListBullet3">
    <w:name w:val="List Bullet 3"/>
    <w:basedOn w:val="Normal"/>
    <w:uiPriority w:val="99"/>
    <w:semiHidden/>
    <w:unhideWhenUsed/>
    <w:rsid w:val="00B55A9C"/>
    <w:pPr>
      <w:numPr>
        <w:numId w:val="27"/>
      </w:numPr>
      <w:contextualSpacing/>
    </w:pPr>
  </w:style>
  <w:style w:type="paragraph" w:styleId="ListBullet4">
    <w:name w:val="List Bullet 4"/>
    <w:basedOn w:val="Normal"/>
    <w:uiPriority w:val="99"/>
    <w:semiHidden/>
    <w:unhideWhenUsed/>
    <w:rsid w:val="00B55A9C"/>
    <w:pPr>
      <w:numPr>
        <w:numId w:val="28"/>
      </w:numPr>
      <w:contextualSpacing/>
    </w:pPr>
  </w:style>
  <w:style w:type="paragraph" w:styleId="ListBullet5">
    <w:name w:val="List Bullet 5"/>
    <w:basedOn w:val="Normal"/>
    <w:uiPriority w:val="99"/>
    <w:semiHidden/>
    <w:unhideWhenUsed/>
    <w:rsid w:val="00B55A9C"/>
    <w:pPr>
      <w:numPr>
        <w:numId w:val="29"/>
      </w:numPr>
      <w:contextualSpacing/>
    </w:pPr>
  </w:style>
  <w:style w:type="paragraph" w:styleId="ListContinue">
    <w:name w:val="List Continue"/>
    <w:basedOn w:val="Normal"/>
    <w:uiPriority w:val="99"/>
    <w:semiHidden/>
    <w:unhideWhenUsed/>
    <w:rsid w:val="00B55A9C"/>
    <w:pPr>
      <w:spacing w:after="120"/>
      <w:ind w:left="283"/>
      <w:contextualSpacing/>
    </w:pPr>
  </w:style>
  <w:style w:type="paragraph" w:styleId="ListContinue2">
    <w:name w:val="List Continue 2"/>
    <w:basedOn w:val="Normal"/>
    <w:uiPriority w:val="99"/>
    <w:semiHidden/>
    <w:unhideWhenUsed/>
    <w:rsid w:val="00B55A9C"/>
    <w:pPr>
      <w:spacing w:after="120"/>
      <w:ind w:left="566"/>
      <w:contextualSpacing/>
    </w:pPr>
  </w:style>
  <w:style w:type="paragraph" w:styleId="ListContinue3">
    <w:name w:val="List Continue 3"/>
    <w:basedOn w:val="Normal"/>
    <w:uiPriority w:val="99"/>
    <w:semiHidden/>
    <w:unhideWhenUsed/>
    <w:rsid w:val="00B55A9C"/>
    <w:pPr>
      <w:spacing w:after="120"/>
      <w:ind w:left="849"/>
      <w:contextualSpacing/>
    </w:pPr>
  </w:style>
  <w:style w:type="paragraph" w:styleId="ListContinue4">
    <w:name w:val="List Continue 4"/>
    <w:basedOn w:val="Normal"/>
    <w:uiPriority w:val="99"/>
    <w:semiHidden/>
    <w:unhideWhenUsed/>
    <w:rsid w:val="00B55A9C"/>
    <w:pPr>
      <w:spacing w:after="120"/>
      <w:ind w:left="1132"/>
      <w:contextualSpacing/>
    </w:pPr>
  </w:style>
  <w:style w:type="paragraph" w:styleId="ListContinue5">
    <w:name w:val="List Continue 5"/>
    <w:basedOn w:val="Normal"/>
    <w:uiPriority w:val="99"/>
    <w:semiHidden/>
    <w:unhideWhenUsed/>
    <w:rsid w:val="00B55A9C"/>
    <w:pPr>
      <w:spacing w:after="120"/>
      <w:ind w:left="1415"/>
      <w:contextualSpacing/>
    </w:pPr>
  </w:style>
  <w:style w:type="paragraph" w:styleId="ListNumber">
    <w:name w:val="List Number"/>
    <w:basedOn w:val="Normal"/>
    <w:uiPriority w:val="99"/>
    <w:semiHidden/>
    <w:unhideWhenUsed/>
    <w:rsid w:val="00B55A9C"/>
    <w:pPr>
      <w:numPr>
        <w:numId w:val="30"/>
      </w:numPr>
      <w:contextualSpacing/>
    </w:pPr>
  </w:style>
  <w:style w:type="paragraph" w:styleId="ListNumber2">
    <w:name w:val="List Number 2"/>
    <w:basedOn w:val="Normal"/>
    <w:uiPriority w:val="99"/>
    <w:semiHidden/>
    <w:unhideWhenUsed/>
    <w:rsid w:val="00B55A9C"/>
    <w:pPr>
      <w:numPr>
        <w:numId w:val="31"/>
      </w:numPr>
      <w:contextualSpacing/>
    </w:pPr>
  </w:style>
  <w:style w:type="paragraph" w:styleId="ListNumber3">
    <w:name w:val="List Number 3"/>
    <w:basedOn w:val="Normal"/>
    <w:uiPriority w:val="99"/>
    <w:semiHidden/>
    <w:unhideWhenUsed/>
    <w:rsid w:val="00B55A9C"/>
    <w:pPr>
      <w:numPr>
        <w:numId w:val="32"/>
      </w:numPr>
      <w:contextualSpacing/>
    </w:pPr>
  </w:style>
  <w:style w:type="paragraph" w:styleId="ListNumber4">
    <w:name w:val="List Number 4"/>
    <w:basedOn w:val="Normal"/>
    <w:uiPriority w:val="99"/>
    <w:semiHidden/>
    <w:unhideWhenUsed/>
    <w:rsid w:val="00B55A9C"/>
    <w:pPr>
      <w:numPr>
        <w:numId w:val="33"/>
      </w:numPr>
      <w:contextualSpacing/>
    </w:pPr>
  </w:style>
  <w:style w:type="paragraph" w:styleId="ListNumber5">
    <w:name w:val="List Number 5"/>
    <w:basedOn w:val="Normal"/>
    <w:uiPriority w:val="99"/>
    <w:semiHidden/>
    <w:unhideWhenUsed/>
    <w:rsid w:val="00B55A9C"/>
    <w:pPr>
      <w:numPr>
        <w:numId w:val="34"/>
      </w:numPr>
      <w:contextualSpacing/>
    </w:pPr>
  </w:style>
  <w:style w:type="paragraph" w:styleId="MacroText">
    <w:name w:val="macro"/>
    <w:link w:val="MacroTextChar"/>
    <w:uiPriority w:val="99"/>
    <w:semiHidden/>
    <w:unhideWhenUsed/>
    <w:rsid w:val="00B55A9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B55A9C"/>
    <w:rPr>
      <w:rFonts w:ascii="Consolas" w:hAnsi="Consolas"/>
      <w:sz w:val="20"/>
      <w:szCs w:val="20"/>
    </w:rPr>
  </w:style>
  <w:style w:type="paragraph" w:styleId="MessageHeader">
    <w:name w:val="Message Header"/>
    <w:basedOn w:val="Normal"/>
    <w:link w:val="MessageHeaderChar"/>
    <w:uiPriority w:val="99"/>
    <w:semiHidden/>
    <w:unhideWhenUsed/>
    <w:rsid w:val="00B55A9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55A9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B55A9C"/>
    <w:pPr>
      <w:ind w:left="720"/>
    </w:pPr>
  </w:style>
  <w:style w:type="paragraph" w:styleId="NoteHeading">
    <w:name w:val="Note Heading"/>
    <w:basedOn w:val="Normal"/>
    <w:next w:val="Normal"/>
    <w:link w:val="NoteHeadingChar"/>
    <w:uiPriority w:val="99"/>
    <w:semiHidden/>
    <w:unhideWhenUsed/>
    <w:rsid w:val="00B55A9C"/>
    <w:pPr>
      <w:spacing w:after="0" w:line="240" w:lineRule="auto"/>
    </w:pPr>
  </w:style>
  <w:style w:type="character" w:customStyle="1" w:styleId="NoteHeadingChar">
    <w:name w:val="Note Heading Char"/>
    <w:basedOn w:val="DefaultParagraphFont"/>
    <w:link w:val="NoteHeading"/>
    <w:uiPriority w:val="99"/>
    <w:semiHidden/>
    <w:rsid w:val="00B55A9C"/>
  </w:style>
  <w:style w:type="paragraph" w:styleId="PlainText">
    <w:name w:val="Plain Text"/>
    <w:basedOn w:val="Normal"/>
    <w:link w:val="PlainTextChar"/>
    <w:uiPriority w:val="99"/>
    <w:semiHidden/>
    <w:unhideWhenUsed/>
    <w:rsid w:val="00B55A9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55A9C"/>
    <w:rPr>
      <w:rFonts w:ascii="Consolas" w:hAnsi="Consolas"/>
      <w:sz w:val="21"/>
      <w:szCs w:val="21"/>
    </w:rPr>
  </w:style>
  <w:style w:type="paragraph" w:styleId="Salutation">
    <w:name w:val="Salutation"/>
    <w:basedOn w:val="Normal"/>
    <w:next w:val="Normal"/>
    <w:link w:val="SalutationChar"/>
    <w:uiPriority w:val="99"/>
    <w:semiHidden/>
    <w:unhideWhenUsed/>
    <w:rsid w:val="00B55A9C"/>
  </w:style>
  <w:style w:type="character" w:customStyle="1" w:styleId="SalutationChar">
    <w:name w:val="Salutation Char"/>
    <w:basedOn w:val="DefaultParagraphFont"/>
    <w:link w:val="Salutation"/>
    <w:uiPriority w:val="99"/>
    <w:semiHidden/>
    <w:rsid w:val="00B55A9C"/>
  </w:style>
  <w:style w:type="paragraph" w:styleId="Signature">
    <w:name w:val="Signature"/>
    <w:basedOn w:val="Normal"/>
    <w:link w:val="SignatureChar"/>
    <w:uiPriority w:val="99"/>
    <w:semiHidden/>
    <w:unhideWhenUsed/>
    <w:rsid w:val="00B55A9C"/>
    <w:pPr>
      <w:spacing w:after="0" w:line="240" w:lineRule="auto"/>
      <w:ind w:left="4252"/>
    </w:pPr>
  </w:style>
  <w:style w:type="character" w:customStyle="1" w:styleId="SignatureChar">
    <w:name w:val="Signature Char"/>
    <w:basedOn w:val="DefaultParagraphFont"/>
    <w:link w:val="Signature"/>
    <w:uiPriority w:val="99"/>
    <w:semiHidden/>
    <w:rsid w:val="00B55A9C"/>
  </w:style>
  <w:style w:type="paragraph" w:styleId="TableofAuthorities">
    <w:name w:val="table of authorities"/>
    <w:basedOn w:val="Normal"/>
    <w:next w:val="Normal"/>
    <w:uiPriority w:val="99"/>
    <w:semiHidden/>
    <w:unhideWhenUsed/>
    <w:rsid w:val="00B55A9C"/>
    <w:pPr>
      <w:spacing w:after="0"/>
      <w:ind w:left="220" w:hanging="220"/>
    </w:pPr>
  </w:style>
  <w:style w:type="paragraph" w:styleId="TableofFigures">
    <w:name w:val="table of figures"/>
    <w:basedOn w:val="Normal"/>
    <w:next w:val="Normal"/>
    <w:uiPriority w:val="99"/>
    <w:semiHidden/>
    <w:unhideWhenUsed/>
    <w:rsid w:val="00B55A9C"/>
    <w:pPr>
      <w:spacing w:after="0"/>
    </w:pPr>
  </w:style>
  <w:style w:type="paragraph" w:styleId="TOAHeading">
    <w:name w:val="toa heading"/>
    <w:basedOn w:val="Normal"/>
    <w:next w:val="Normal"/>
    <w:uiPriority w:val="99"/>
    <w:semiHidden/>
    <w:unhideWhenUsed/>
    <w:rsid w:val="00B55A9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B55A9C"/>
    <w:pPr>
      <w:spacing w:after="100"/>
      <w:ind w:left="660"/>
    </w:pPr>
  </w:style>
  <w:style w:type="paragraph" w:styleId="TOC5">
    <w:name w:val="toc 5"/>
    <w:basedOn w:val="Normal"/>
    <w:next w:val="Normal"/>
    <w:autoRedefine/>
    <w:uiPriority w:val="39"/>
    <w:semiHidden/>
    <w:unhideWhenUsed/>
    <w:rsid w:val="00B55A9C"/>
    <w:pPr>
      <w:spacing w:after="100"/>
      <w:ind w:left="880"/>
    </w:pPr>
  </w:style>
  <w:style w:type="paragraph" w:styleId="TOC6">
    <w:name w:val="toc 6"/>
    <w:basedOn w:val="Normal"/>
    <w:next w:val="Normal"/>
    <w:autoRedefine/>
    <w:uiPriority w:val="39"/>
    <w:semiHidden/>
    <w:unhideWhenUsed/>
    <w:rsid w:val="00B55A9C"/>
    <w:pPr>
      <w:spacing w:after="100"/>
      <w:ind w:left="1100"/>
    </w:pPr>
  </w:style>
  <w:style w:type="paragraph" w:styleId="TOC7">
    <w:name w:val="toc 7"/>
    <w:basedOn w:val="Normal"/>
    <w:next w:val="Normal"/>
    <w:autoRedefine/>
    <w:uiPriority w:val="39"/>
    <w:semiHidden/>
    <w:unhideWhenUsed/>
    <w:rsid w:val="00B55A9C"/>
    <w:pPr>
      <w:spacing w:after="100"/>
      <w:ind w:left="1320"/>
    </w:pPr>
  </w:style>
  <w:style w:type="paragraph" w:styleId="TOC8">
    <w:name w:val="toc 8"/>
    <w:basedOn w:val="Normal"/>
    <w:next w:val="Normal"/>
    <w:autoRedefine/>
    <w:uiPriority w:val="39"/>
    <w:semiHidden/>
    <w:unhideWhenUsed/>
    <w:rsid w:val="00B55A9C"/>
    <w:pPr>
      <w:spacing w:after="100"/>
      <w:ind w:left="1540"/>
    </w:pPr>
  </w:style>
  <w:style w:type="paragraph" w:styleId="TOC9">
    <w:name w:val="toc 9"/>
    <w:basedOn w:val="Normal"/>
    <w:next w:val="Normal"/>
    <w:autoRedefine/>
    <w:uiPriority w:val="39"/>
    <w:semiHidden/>
    <w:unhideWhenUsed/>
    <w:rsid w:val="00B55A9C"/>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comments" Target="comments.xml"/><Relationship Id="rId26" Type="http://schemas.openxmlformats.org/officeDocument/2006/relationships/header" Target="header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4.png"/><Relationship Id="rId25" Type="http://schemas.openxmlformats.org/officeDocument/2006/relationships/hyperlink" Target="mailto:ceo@irrigators.org.au" TargetMode="External"/><Relationship Id="rId2" Type="http://schemas.openxmlformats.org/officeDocument/2006/relationships/customXml" Target="../customXml/item2.xml"/><Relationship Id="rId16" Type="http://schemas.openxmlformats.org/officeDocument/2006/relationships/hyperlink" Target="https://www.irrigators.org.au/policy/murray-darling-basin-plan/2026-basin-plan-review/discussion-paper-submission/" TargetMode="External"/><Relationship Id="rId20" Type="http://schemas.microsoft.com/office/2016/09/relationships/commentsIds" Target="commentsIds.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yperlink" Target="https://www.irrigators.org.au/policy/murray-darling-basin-plan/2026-basin-plan-review/moving-forward-our-review-of-the-murray-darling-basin-plan/" TargetMode="External"/><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footer" Target="footer1.xml"/><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www.mdba.gov.au/publications-and-data/publications/living-murray-story" TargetMode="External"/><Relationship Id="rId13" Type="http://schemas.openxmlformats.org/officeDocument/2006/relationships/hyperlink" Target="https://www.dcceew.gov.au/water/policy/first-nations/aboriginal-water-entitlements-program/temporary-water-trading" TargetMode="External"/><Relationship Id="rId3" Type="http://schemas.openxmlformats.org/officeDocument/2006/relationships/hyperlink" Target="http://culturalflows.com.au/" TargetMode="External"/><Relationship Id="rId7" Type="http://schemas.openxmlformats.org/officeDocument/2006/relationships/hyperlink" Target="https://www.mdba.gov.au/water-use/water-environment/living-murray/indigenous-partnerships-program" TargetMode="External"/><Relationship Id="rId12" Type="http://schemas.openxmlformats.org/officeDocument/2006/relationships/hyperlink" Target="https://www.dcceew.gov.au/water/policy/first-nations/aboriginal-water-entitlements-program" TargetMode="External"/><Relationship Id="rId17" Type="http://schemas.openxmlformats.org/officeDocument/2006/relationships/hyperlink" Target="https://www.abc.net.au/news/rural/2022-12-13/murray-darling-basin-authority-nban-indigenous-advice-funds-cut/101716942" TargetMode="External"/><Relationship Id="rId2" Type="http://schemas.openxmlformats.org/officeDocument/2006/relationships/hyperlink" Target="https://www.mdba.gov.au/water-use/water-first-nations/first-nations-environmental-water-guidance" TargetMode="External"/><Relationship Id="rId16" Type="http://schemas.openxmlformats.org/officeDocument/2006/relationships/hyperlink" Target="https://www.dcceew.gov.au/sites/default/files/documents/interim-report-draft-governance-models.pdf" TargetMode="External"/><Relationship Id="rId1" Type="http://schemas.openxmlformats.org/officeDocument/2006/relationships/hyperlink" Target="https://www.dcceew.gov.au/sites/default/files/documents/strong-voices-healthy-waters-atsi-review-water-act.pdf" TargetMode="External"/><Relationship Id="rId6" Type="http://schemas.openxmlformats.org/officeDocument/2006/relationships/hyperlink" Target="https://assets.pc.gov.au/__data/assets/pdf_file/0011/366617/sub079-basin-plan-2023.pdf" TargetMode="External"/><Relationship Id="rId11" Type="http://schemas.openxmlformats.org/officeDocument/2006/relationships/hyperlink" Target="https://www.mdba.gov.au/sites/default/files/publications/rivers-the-veins-of-our-country-2020-21.pdf" TargetMode="External"/><Relationship Id="rId5" Type="http://schemas.openxmlformats.org/officeDocument/2006/relationships/hyperlink" Target="https://assets.pc.gov.au/__data/assets/pdf_file/0011/366617/sub079-basin-plan-2023.pdf" TargetMode="External"/><Relationship Id="rId15" Type="http://schemas.openxmlformats.org/officeDocument/2006/relationships/hyperlink" Target="https://www.dcceew.gov.au/water/policy/first-nations/aboriginal-water-entitlements-program/interim-governance" TargetMode="External"/><Relationship Id="rId10" Type="http://schemas.openxmlformats.org/officeDocument/2006/relationships/hyperlink" Target="https://www.mdba.gov.au/sites/default/files/publications/rivers-the-veins-of-our-country-2020-21.pdf" TargetMode="External"/><Relationship Id="rId4" Type="http://schemas.openxmlformats.org/officeDocument/2006/relationships/hyperlink" Target="https://www.mdba.gov.au/sites/default/files/publications/seftons-report-september-2020.pdf" TargetMode="External"/><Relationship Id="rId9" Type="http://schemas.openxmlformats.org/officeDocument/2006/relationships/hyperlink" Target="https://www.mdba.gov.au/publications-and-data/publications/stories-first-nations-delivering-benefits-country-and" TargetMode="External"/><Relationship Id="rId14" Type="http://schemas.openxmlformats.org/officeDocument/2006/relationships/hyperlink" Target="https://www.dcceew.gov.au/sites/default/files/documents/awep-temporary-trading-strategy.pdf"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Submission</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05a78c0f-a504-4649-88c9-b794f6403e85" xsi:nil="true"/>
    <lcf76f155ced4ddcb4097134ff3c332f xmlns="e809dcb9-122b-4a07-9542-d31a68380e9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5A1E11612CF340B16C95BCD3006626" ma:contentTypeVersion="18" ma:contentTypeDescription="Create a new document." ma:contentTypeScope="" ma:versionID="83da811c9e8e7e25b95c1da7c40ef9fc">
  <xsd:schema xmlns:xsd="http://www.w3.org/2001/XMLSchema" xmlns:xs="http://www.w3.org/2001/XMLSchema" xmlns:p="http://schemas.microsoft.com/office/2006/metadata/properties" xmlns:ns2="05a78c0f-a504-4649-88c9-b794f6403e85" xmlns:ns3="e809dcb9-122b-4a07-9542-d31a68380e93" targetNamespace="http://schemas.microsoft.com/office/2006/metadata/properties" ma:root="true" ma:fieldsID="88e9ae26ff635026e13bb1c43b027d4d" ns2:_="" ns3:_="">
    <xsd:import namespace="05a78c0f-a504-4649-88c9-b794f6403e85"/>
    <xsd:import namespace="e809dcb9-122b-4a07-9542-d31a68380e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a78c0f-a504-4649-88c9-b794f6403e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0d9da494-2820-463f-b5b3-52c4182aea95}" ma:internalName="TaxCatchAll" ma:showField="CatchAllData" ma:web="05a78c0f-a504-4649-88c9-b794f6403e8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09dcb9-122b-4a07-9542-d31a68380e9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8bf22c-45f6-4dbd-b812-cdd956b022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4EB206-248E-493B-B61F-A4224E972D18}">
  <ds:schemaRefs>
    <ds:schemaRef ds:uri="http://schemas.microsoft.com/office/2006/metadata/properties"/>
    <ds:schemaRef ds:uri="http://schemas.microsoft.com/office/infopath/2007/PartnerControls"/>
    <ds:schemaRef ds:uri="05a78c0f-a504-4649-88c9-b794f6403e85"/>
    <ds:schemaRef ds:uri="e809dcb9-122b-4a07-9542-d31a68380e93"/>
  </ds:schemaRefs>
</ds:datastoreItem>
</file>

<file path=customXml/itemProps3.xml><?xml version="1.0" encoding="utf-8"?>
<ds:datastoreItem xmlns:ds="http://schemas.openxmlformats.org/officeDocument/2006/customXml" ds:itemID="{10F074C4-A567-46BC-AF83-F96D36767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a78c0f-a504-4649-88c9-b794f6403e85"/>
    <ds:schemaRef ds:uri="e809dcb9-122b-4a07-9542-d31a68380e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785E80-9937-45CD-924E-25EE217F176B}">
  <ds:schemaRefs>
    <ds:schemaRef ds:uri="http://schemas.openxmlformats.org/officeDocument/2006/bibliography"/>
  </ds:schemaRefs>
</ds:datastoreItem>
</file>

<file path=customXml/itemProps5.xml><?xml version="1.0" encoding="utf-8"?>
<ds:datastoreItem xmlns:ds="http://schemas.openxmlformats.org/officeDocument/2006/customXml" ds:itemID="{20EB624E-BD9C-46B6-AFC3-AB6095025C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2155</TotalTime>
  <Pages>21</Pages>
  <Words>7287</Words>
  <Characters>40957</Characters>
  <Application>Microsoft Office Word</Application>
  <DocSecurity>0</DocSecurity>
  <Lines>744</Lines>
  <Paragraphs>373</Paragraphs>
  <ScaleCrop>false</ScaleCrop>
  <HeadingPairs>
    <vt:vector size="2" baseType="variant">
      <vt:variant>
        <vt:lpstr>Title</vt:lpstr>
      </vt:variant>
      <vt:variant>
        <vt:i4>1</vt:i4>
      </vt:variant>
    </vt:vector>
  </HeadingPairs>
  <TitlesOfParts>
    <vt:vector size="1" baseType="lpstr">
      <vt:lpstr/>
    </vt:vector>
  </TitlesOfParts>
  <Company>July 2026</Company>
  <LinksUpToDate>false</LinksUpToDate>
  <CharactersWithSpaces>47871</CharactersWithSpaces>
  <SharedDoc>false</SharedDoc>
  <HLinks>
    <vt:vector size="282" baseType="variant">
      <vt:variant>
        <vt:i4>1245280</vt:i4>
      </vt:variant>
      <vt:variant>
        <vt:i4>171</vt:i4>
      </vt:variant>
      <vt:variant>
        <vt:i4>0</vt:i4>
      </vt:variant>
      <vt:variant>
        <vt:i4>5</vt:i4>
      </vt:variant>
      <vt:variant>
        <vt:lpwstr>mailto:ceo@irrigators.org.au</vt:lpwstr>
      </vt:variant>
      <vt:variant>
        <vt:lpwstr/>
      </vt:variant>
      <vt:variant>
        <vt:i4>1114162</vt:i4>
      </vt:variant>
      <vt:variant>
        <vt:i4>158</vt:i4>
      </vt:variant>
      <vt:variant>
        <vt:i4>0</vt:i4>
      </vt:variant>
      <vt:variant>
        <vt:i4>5</vt:i4>
      </vt:variant>
      <vt:variant>
        <vt:lpwstr/>
      </vt:variant>
      <vt:variant>
        <vt:lpwstr>_Toc233274437</vt:lpwstr>
      </vt:variant>
      <vt:variant>
        <vt:i4>1114162</vt:i4>
      </vt:variant>
      <vt:variant>
        <vt:i4>152</vt:i4>
      </vt:variant>
      <vt:variant>
        <vt:i4>0</vt:i4>
      </vt:variant>
      <vt:variant>
        <vt:i4>5</vt:i4>
      </vt:variant>
      <vt:variant>
        <vt:lpwstr/>
      </vt:variant>
      <vt:variant>
        <vt:lpwstr>_Toc233274436</vt:lpwstr>
      </vt:variant>
      <vt:variant>
        <vt:i4>1114162</vt:i4>
      </vt:variant>
      <vt:variant>
        <vt:i4>146</vt:i4>
      </vt:variant>
      <vt:variant>
        <vt:i4>0</vt:i4>
      </vt:variant>
      <vt:variant>
        <vt:i4>5</vt:i4>
      </vt:variant>
      <vt:variant>
        <vt:lpwstr/>
      </vt:variant>
      <vt:variant>
        <vt:lpwstr>_Toc233274435</vt:lpwstr>
      </vt:variant>
      <vt:variant>
        <vt:i4>1114162</vt:i4>
      </vt:variant>
      <vt:variant>
        <vt:i4>140</vt:i4>
      </vt:variant>
      <vt:variant>
        <vt:i4>0</vt:i4>
      </vt:variant>
      <vt:variant>
        <vt:i4>5</vt:i4>
      </vt:variant>
      <vt:variant>
        <vt:lpwstr/>
      </vt:variant>
      <vt:variant>
        <vt:lpwstr>_Toc233274434</vt:lpwstr>
      </vt:variant>
      <vt:variant>
        <vt:i4>1114162</vt:i4>
      </vt:variant>
      <vt:variant>
        <vt:i4>134</vt:i4>
      </vt:variant>
      <vt:variant>
        <vt:i4>0</vt:i4>
      </vt:variant>
      <vt:variant>
        <vt:i4>5</vt:i4>
      </vt:variant>
      <vt:variant>
        <vt:lpwstr/>
      </vt:variant>
      <vt:variant>
        <vt:lpwstr>_Toc233274433</vt:lpwstr>
      </vt:variant>
      <vt:variant>
        <vt:i4>1114162</vt:i4>
      </vt:variant>
      <vt:variant>
        <vt:i4>128</vt:i4>
      </vt:variant>
      <vt:variant>
        <vt:i4>0</vt:i4>
      </vt:variant>
      <vt:variant>
        <vt:i4>5</vt:i4>
      </vt:variant>
      <vt:variant>
        <vt:lpwstr/>
      </vt:variant>
      <vt:variant>
        <vt:lpwstr>_Toc233274432</vt:lpwstr>
      </vt:variant>
      <vt:variant>
        <vt:i4>1114162</vt:i4>
      </vt:variant>
      <vt:variant>
        <vt:i4>122</vt:i4>
      </vt:variant>
      <vt:variant>
        <vt:i4>0</vt:i4>
      </vt:variant>
      <vt:variant>
        <vt:i4>5</vt:i4>
      </vt:variant>
      <vt:variant>
        <vt:lpwstr/>
      </vt:variant>
      <vt:variant>
        <vt:lpwstr>_Toc233274431</vt:lpwstr>
      </vt:variant>
      <vt:variant>
        <vt:i4>1114162</vt:i4>
      </vt:variant>
      <vt:variant>
        <vt:i4>116</vt:i4>
      </vt:variant>
      <vt:variant>
        <vt:i4>0</vt:i4>
      </vt:variant>
      <vt:variant>
        <vt:i4>5</vt:i4>
      </vt:variant>
      <vt:variant>
        <vt:lpwstr/>
      </vt:variant>
      <vt:variant>
        <vt:lpwstr>_Toc233274430</vt:lpwstr>
      </vt:variant>
      <vt:variant>
        <vt:i4>1048626</vt:i4>
      </vt:variant>
      <vt:variant>
        <vt:i4>110</vt:i4>
      </vt:variant>
      <vt:variant>
        <vt:i4>0</vt:i4>
      </vt:variant>
      <vt:variant>
        <vt:i4>5</vt:i4>
      </vt:variant>
      <vt:variant>
        <vt:lpwstr/>
      </vt:variant>
      <vt:variant>
        <vt:lpwstr>_Toc233274429</vt:lpwstr>
      </vt:variant>
      <vt:variant>
        <vt:i4>1048626</vt:i4>
      </vt:variant>
      <vt:variant>
        <vt:i4>104</vt:i4>
      </vt:variant>
      <vt:variant>
        <vt:i4>0</vt:i4>
      </vt:variant>
      <vt:variant>
        <vt:i4>5</vt:i4>
      </vt:variant>
      <vt:variant>
        <vt:lpwstr/>
      </vt:variant>
      <vt:variant>
        <vt:lpwstr>_Toc233274428</vt:lpwstr>
      </vt:variant>
      <vt:variant>
        <vt:i4>1048626</vt:i4>
      </vt:variant>
      <vt:variant>
        <vt:i4>98</vt:i4>
      </vt:variant>
      <vt:variant>
        <vt:i4>0</vt:i4>
      </vt:variant>
      <vt:variant>
        <vt:i4>5</vt:i4>
      </vt:variant>
      <vt:variant>
        <vt:lpwstr/>
      </vt:variant>
      <vt:variant>
        <vt:lpwstr>_Toc233274427</vt:lpwstr>
      </vt:variant>
      <vt:variant>
        <vt:i4>1048626</vt:i4>
      </vt:variant>
      <vt:variant>
        <vt:i4>92</vt:i4>
      </vt:variant>
      <vt:variant>
        <vt:i4>0</vt:i4>
      </vt:variant>
      <vt:variant>
        <vt:i4>5</vt:i4>
      </vt:variant>
      <vt:variant>
        <vt:lpwstr/>
      </vt:variant>
      <vt:variant>
        <vt:lpwstr>_Toc233274426</vt:lpwstr>
      </vt:variant>
      <vt:variant>
        <vt:i4>1048626</vt:i4>
      </vt:variant>
      <vt:variant>
        <vt:i4>86</vt:i4>
      </vt:variant>
      <vt:variant>
        <vt:i4>0</vt:i4>
      </vt:variant>
      <vt:variant>
        <vt:i4>5</vt:i4>
      </vt:variant>
      <vt:variant>
        <vt:lpwstr/>
      </vt:variant>
      <vt:variant>
        <vt:lpwstr>_Toc233274425</vt:lpwstr>
      </vt:variant>
      <vt:variant>
        <vt:i4>1048626</vt:i4>
      </vt:variant>
      <vt:variant>
        <vt:i4>80</vt:i4>
      </vt:variant>
      <vt:variant>
        <vt:i4>0</vt:i4>
      </vt:variant>
      <vt:variant>
        <vt:i4>5</vt:i4>
      </vt:variant>
      <vt:variant>
        <vt:lpwstr/>
      </vt:variant>
      <vt:variant>
        <vt:lpwstr>_Toc233274424</vt:lpwstr>
      </vt:variant>
      <vt:variant>
        <vt:i4>1048626</vt:i4>
      </vt:variant>
      <vt:variant>
        <vt:i4>74</vt:i4>
      </vt:variant>
      <vt:variant>
        <vt:i4>0</vt:i4>
      </vt:variant>
      <vt:variant>
        <vt:i4>5</vt:i4>
      </vt:variant>
      <vt:variant>
        <vt:lpwstr/>
      </vt:variant>
      <vt:variant>
        <vt:lpwstr>_Toc233274423</vt:lpwstr>
      </vt:variant>
      <vt:variant>
        <vt:i4>1048626</vt:i4>
      </vt:variant>
      <vt:variant>
        <vt:i4>68</vt:i4>
      </vt:variant>
      <vt:variant>
        <vt:i4>0</vt:i4>
      </vt:variant>
      <vt:variant>
        <vt:i4>5</vt:i4>
      </vt:variant>
      <vt:variant>
        <vt:lpwstr/>
      </vt:variant>
      <vt:variant>
        <vt:lpwstr>_Toc233274422</vt:lpwstr>
      </vt:variant>
      <vt:variant>
        <vt:i4>1048626</vt:i4>
      </vt:variant>
      <vt:variant>
        <vt:i4>62</vt:i4>
      </vt:variant>
      <vt:variant>
        <vt:i4>0</vt:i4>
      </vt:variant>
      <vt:variant>
        <vt:i4>5</vt:i4>
      </vt:variant>
      <vt:variant>
        <vt:lpwstr/>
      </vt:variant>
      <vt:variant>
        <vt:lpwstr>_Toc233274421</vt:lpwstr>
      </vt:variant>
      <vt:variant>
        <vt:i4>1048626</vt:i4>
      </vt:variant>
      <vt:variant>
        <vt:i4>56</vt:i4>
      </vt:variant>
      <vt:variant>
        <vt:i4>0</vt:i4>
      </vt:variant>
      <vt:variant>
        <vt:i4>5</vt:i4>
      </vt:variant>
      <vt:variant>
        <vt:lpwstr/>
      </vt:variant>
      <vt:variant>
        <vt:lpwstr>_Toc233274420</vt:lpwstr>
      </vt:variant>
      <vt:variant>
        <vt:i4>1245234</vt:i4>
      </vt:variant>
      <vt:variant>
        <vt:i4>50</vt:i4>
      </vt:variant>
      <vt:variant>
        <vt:i4>0</vt:i4>
      </vt:variant>
      <vt:variant>
        <vt:i4>5</vt:i4>
      </vt:variant>
      <vt:variant>
        <vt:lpwstr/>
      </vt:variant>
      <vt:variant>
        <vt:lpwstr>_Toc233274419</vt:lpwstr>
      </vt:variant>
      <vt:variant>
        <vt:i4>1245234</vt:i4>
      </vt:variant>
      <vt:variant>
        <vt:i4>44</vt:i4>
      </vt:variant>
      <vt:variant>
        <vt:i4>0</vt:i4>
      </vt:variant>
      <vt:variant>
        <vt:i4>5</vt:i4>
      </vt:variant>
      <vt:variant>
        <vt:lpwstr/>
      </vt:variant>
      <vt:variant>
        <vt:lpwstr>_Toc233274418</vt:lpwstr>
      </vt:variant>
      <vt:variant>
        <vt:i4>1245234</vt:i4>
      </vt:variant>
      <vt:variant>
        <vt:i4>38</vt:i4>
      </vt:variant>
      <vt:variant>
        <vt:i4>0</vt:i4>
      </vt:variant>
      <vt:variant>
        <vt:i4>5</vt:i4>
      </vt:variant>
      <vt:variant>
        <vt:lpwstr/>
      </vt:variant>
      <vt:variant>
        <vt:lpwstr>_Toc233274417</vt:lpwstr>
      </vt:variant>
      <vt:variant>
        <vt:i4>1245234</vt:i4>
      </vt:variant>
      <vt:variant>
        <vt:i4>32</vt:i4>
      </vt:variant>
      <vt:variant>
        <vt:i4>0</vt:i4>
      </vt:variant>
      <vt:variant>
        <vt:i4>5</vt:i4>
      </vt:variant>
      <vt:variant>
        <vt:lpwstr/>
      </vt:variant>
      <vt:variant>
        <vt:lpwstr>_Toc233274416</vt:lpwstr>
      </vt:variant>
      <vt:variant>
        <vt:i4>1245234</vt:i4>
      </vt:variant>
      <vt:variant>
        <vt:i4>26</vt:i4>
      </vt:variant>
      <vt:variant>
        <vt:i4>0</vt:i4>
      </vt:variant>
      <vt:variant>
        <vt:i4>5</vt:i4>
      </vt:variant>
      <vt:variant>
        <vt:lpwstr/>
      </vt:variant>
      <vt:variant>
        <vt:lpwstr>_Toc233274415</vt:lpwstr>
      </vt:variant>
      <vt:variant>
        <vt:i4>1245234</vt:i4>
      </vt:variant>
      <vt:variant>
        <vt:i4>20</vt:i4>
      </vt:variant>
      <vt:variant>
        <vt:i4>0</vt:i4>
      </vt:variant>
      <vt:variant>
        <vt:i4>5</vt:i4>
      </vt:variant>
      <vt:variant>
        <vt:lpwstr/>
      </vt:variant>
      <vt:variant>
        <vt:lpwstr>_Toc233274414</vt:lpwstr>
      </vt:variant>
      <vt:variant>
        <vt:i4>1245234</vt:i4>
      </vt:variant>
      <vt:variant>
        <vt:i4>14</vt:i4>
      </vt:variant>
      <vt:variant>
        <vt:i4>0</vt:i4>
      </vt:variant>
      <vt:variant>
        <vt:i4>5</vt:i4>
      </vt:variant>
      <vt:variant>
        <vt:lpwstr/>
      </vt:variant>
      <vt:variant>
        <vt:lpwstr>_Toc233274413</vt:lpwstr>
      </vt:variant>
      <vt:variant>
        <vt:i4>1245234</vt:i4>
      </vt:variant>
      <vt:variant>
        <vt:i4>8</vt:i4>
      </vt:variant>
      <vt:variant>
        <vt:i4>0</vt:i4>
      </vt:variant>
      <vt:variant>
        <vt:i4>5</vt:i4>
      </vt:variant>
      <vt:variant>
        <vt:lpwstr/>
      </vt:variant>
      <vt:variant>
        <vt:lpwstr>_Toc233274412</vt:lpwstr>
      </vt:variant>
      <vt:variant>
        <vt:i4>3014754</vt:i4>
      </vt:variant>
      <vt:variant>
        <vt:i4>3</vt:i4>
      </vt:variant>
      <vt:variant>
        <vt:i4>0</vt:i4>
      </vt:variant>
      <vt:variant>
        <vt:i4>5</vt:i4>
      </vt:variant>
      <vt:variant>
        <vt:lpwstr>https://www.irrigators.org.au/policy/murray-darling-basin-plan/2026-basin-plan-review/discussion-paper-submission/</vt:lpwstr>
      </vt:variant>
      <vt:variant>
        <vt:lpwstr/>
      </vt:variant>
      <vt:variant>
        <vt:i4>327751</vt:i4>
      </vt:variant>
      <vt:variant>
        <vt:i4>0</vt:i4>
      </vt:variant>
      <vt:variant>
        <vt:i4>0</vt:i4>
      </vt:variant>
      <vt:variant>
        <vt:i4>5</vt:i4>
      </vt:variant>
      <vt:variant>
        <vt:lpwstr>https://www.irrigators.org.au/policy/murray-darling-basin-plan/2026-basin-plan-review/moving-forward-our-review-of-the-murray-darling-basin-plan/</vt:lpwstr>
      </vt:variant>
      <vt:variant>
        <vt:lpwstr/>
      </vt:variant>
      <vt:variant>
        <vt:i4>7995512</vt:i4>
      </vt:variant>
      <vt:variant>
        <vt:i4>48</vt:i4>
      </vt:variant>
      <vt:variant>
        <vt:i4>0</vt:i4>
      </vt:variant>
      <vt:variant>
        <vt:i4>5</vt:i4>
      </vt:variant>
      <vt:variant>
        <vt:lpwstr>https://www.abc.net.au/news/rural/2022-12-13/murray-darling-basin-authority-nban-indigenous-advice-funds-cut/101716942</vt:lpwstr>
      </vt:variant>
      <vt:variant>
        <vt:lpwstr/>
      </vt:variant>
      <vt:variant>
        <vt:i4>6684775</vt:i4>
      </vt:variant>
      <vt:variant>
        <vt:i4>45</vt:i4>
      </vt:variant>
      <vt:variant>
        <vt:i4>0</vt:i4>
      </vt:variant>
      <vt:variant>
        <vt:i4>5</vt:i4>
      </vt:variant>
      <vt:variant>
        <vt:lpwstr>https://www.dcceew.gov.au/sites/default/files/documents/interim-report-draft-governance-models.pdf</vt:lpwstr>
      </vt:variant>
      <vt:variant>
        <vt:lpwstr/>
      </vt:variant>
      <vt:variant>
        <vt:i4>4653121</vt:i4>
      </vt:variant>
      <vt:variant>
        <vt:i4>42</vt:i4>
      </vt:variant>
      <vt:variant>
        <vt:i4>0</vt:i4>
      </vt:variant>
      <vt:variant>
        <vt:i4>5</vt:i4>
      </vt:variant>
      <vt:variant>
        <vt:lpwstr>https://www.dcceew.gov.au/water/policy/first-nations/aboriginal-water-entitlements-program/interim-governance</vt:lpwstr>
      </vt:variant>
      <vt:variant>
        <vt:lpwstr/>
      </vt:variant>
      <vt:variant>
        <vt:i4>3080316</vt:i4>
      </vt:variant>
      <vt:variant>
        <vt:i4>39</vt:i4>
      </vt:variant>
      <vt:variant>
        <vt:i4>0</vt:i4>
      </vt:variant>
      <vt:variant>
        <vt:i4>5</vt:i4>
      </vt:variant>
      <vt:variant>
        <vt:lpwstr>https://www.dcceew.gov.au/sites/default/files/documents/awep-temporary-trading-strategy.pdf</vt:lpwstr>
      </vt:variant>
      <vt:variant>
        <vt:lpwstr/>
      </vt:variant>
      <vt:variant>
        <vt:i4>2097261</vt:i4>
      </vt:variant>
      <vt:variant>
        <vt:i4>36</vt:i4>
      </vt:variant>
      <vt:variant>
        <vt:i4>0</vt:i4>
      </vt:variant>
      <vt:variant>
        <vt:i4>5</vt:i4>
      </vt:variant>
      <vt:variant>
        <vt:lpwstr>https://www.dcceew.gov.au/water/policy/first-nations/aboriginal-water-entitlements-program/temporary-water-trading</vt:lpwstr>
      </vt:variant>
      <vt:variant>
        <vt:lpwstr/>
      </vt:variant>
      <vt:variant>
        <vt:i4>2359339</vt:i4>
      </vt:variant>
      <vt:variant>
        <vt:i4>33</vt:i4>
      </vt:variant>
      <vt:variant>
        <vt:i4>0</vt:i4>
      </vt:variant>
      <vt:variant>
        <vt:i4>5</vt:i4>
      </vt:variant>
      <vt:variant>
        <vt:lpwstr>https://www.dcceew.gov.au/water/policy/first-nations/aboriginal-water-entitlements-program</vt:lpwstr>
      </vt:variant>
      <vt:variant>
        <vt:lpwstr/>
      </vt:variant>
      <vt:variant>
        <vt:i4>1376343</vt:i4>
      </vt:variant>
      <vt:variant>
        <vt:i4>30</vt:i4>
      </vt:variant>
      <vt:variant>
        <vt:i4>0</vt:i4>
      </vt:variant>
      <vt:variant>
        <vt:i4>5</vt:i4>
      </vt:variant>
      <vt:variant>
        <vt:lpwstr>https://www.mdba.gov.au/sites/default/files/publications/rivers-the-veins-of-our-country-2020-21.pdf</vt:lpwstr>
      </vt:variant>
      <vt:variant>
        <vt:lpwstr/>
      </vt:variant>
      <vt:variant>
        <vt:i4>1376343</vt:i4>
      </vt:variant>
      <vt:variant>
        <vt:i4>27</vt:i4>
      </vt:variant>
      <vt:variant>
        <vt:i4>0</vt:i4>
      </vt:variant>
      <vt:variant>
        <vt:i4>5</vt:i4>
      </vt:variant>
      <vt:variant>
        <vt:lpwstr>https://www.mdba.gov.au/sites/default/files/publications/rivers-the-veins-of-our-country-2020-21.pdf</vt:lpwstr>
      </vt:variant>
      <vt:variant>
        <vt:lpwstr/>
      </vt:variant>
      <vt:variant>
        <vt:i4>196674</vt:i4>
      </vt:variant>
      <vt:variant>
        <vt:i4>24</vt:i4>
      </vt:variant>
      <vt:variant>
        <vt:i4>0</vt:i4>
      </vt:variant>
      <vt:variant>
        <vt:i4>5</vt:i4>
      </vt:variant>
      <vt:variant>
        <vt:lpwstr>https://www.mdba.gov.au/publications-and-data/publications/stories-first-nations-delivering-benefits-country-and</vt:lpwstr>
      </vt:variant>
      <vt:variant>
        <vt:lpwstr/>
      </vt:variant>
      <vt:variant>
        <vt:i4>6946854</vt:i4>
      </vt:variant>
      <vt:variant>
        <vt:i4>21</vt:i4>
      </vt:variant>
      <vt:variant>
        <vt:i4>0</vt:i4>
      </vt:variant>
      <vt:variant>
        <vt:i4>5</vt:i4>
      </vt:variant>
      <vt:variant>
        <vt:lpwstr>https://www.mdba.gov.au/publications-and-data/publications/living-murray-story</vt:lpwstr>
      </vt:variant>
      <vt:variant>
        <vt:lpwstr/>
      </vt:variant>
      <vt:variant>
        <vt:i4>1900628</vt:i4>
      </vt:variant>
      <vt:variant>
        <vt:i4>18</vt:i4>
      </vt:variant>
      <vt:variant>
        <vt:i4>0</vt:i4>
      </vt:variant>
      <vt:variant>
        <vt:i4>5</vt:i4>
      </vt:variant>
      <vt:variant>
        <vt:lpwstr>https://www.mdba.gov.au/water-use/water-environment/living-murray/indigenous-partnerships-program</vt:lpwstr>
      </vt:variant>
      <vt:variant>
        <vt:lpwstr/>
      </vt:variant>
      <vt:variant>
        <vt:i4>1572970</vt:i4>
      </vt:variant>
      <vt:variant>
        <vt:i4>15</vt:i4>
      </vt:variant>
      <vt:variant>
        <vt:i4>0</vt:i4>
      </vt:variant>
      <vt:variant>
        <vt:i4>5</vt:i4>
      </vt:variant>
      <vt:variant>
        <vt:lpwstr>https://assets.pc.gov.au/__data/assets/pdf_file/0011/366617/sub079-basin-plan-2023.pdf</vt:lpwstr>
      </vt:variant>
      <vt:variant>
        <vt:lpwstr/>
      </vt:variant>
      <vt:variant>
        <vt:i4>1572970</vt:i4>
      </vt:variant>
      <vt:variant>
        <vt:i4>12</vt:i4>
      </vt:variant>
      <vt:variant>
        <vt:i4>0</vt:i4>
      </vt:variant>
      <vt:variant>
        <vt:i4>5</vt:i4>
      </vt:variant>
      <vt:variant>
        <vt:lpwstr>https://assets.pc.gov.au/__data/assets/pdf_file/0011/366617/sub079-basin-plan-2023.pdf</vt:lpwstr>
      </vt:variant>
      <vt:variant>
        <vt:lpwstr/>
      </vt:variant>
      <vt:variant>
        <vt:i4>3211385</vt:i4>
      </vt:variant>
      <vt:variant>
        <vt:i4>9</vt:i4>
      </vt:variant>
      <vt:variant>
        <vt:i4>0</vt:i4>
      </vt:variant>
      <vt:variant>
        <vt:i4>5</vt:i4>
      </vt:variant>
      <vt:variant>
        <vt:lpwstr>https://www.mdba.gov.au/sites/default/files/publications/seftons-report-september-2020.pdf</vt:lpwstr>
      </vt:variant>
      <vt:variant>
        <vt:lpwstr/>
      </vt:variant>
      <vt:variant>
        <vt:i4>655383</vt:i4>
      </vt:variant>
      <vt:variant>
        <vt:i4>6</vt:i4>
      </vt:variant>
      <vt:variant>
        <vt:i4>0</vt:i4>
      </vt:variant>
      <vt:variant>
        <vt:i4>5</vt:i4>
      </vt:variant>
      <vt:variant>
        <vt:lpwstr>http://culturalflows.com.au/</vt:lpwstr>
      </vt:variant>
      <vt:variant>
        <vt:lpwstr/>
      </vt:variant>
      <vt:variant>
        <vt:i4>5767242</vt:i4>
      </vt:variant>
      <vt:variant>
        <vt:i4>3</vt:i4>
      </vt:variant>
      <vt:variant>
        <vt:i4>0</vt:i4>
      </vt:variant>
      <vt:variant>
        <vt:i4>5</vt:i4>
      </vt:variant>
      <vt:variant>
        <vt:lpwstr>https://www.mdba.gov.au/water-use/water-first-nations/first-nations-environmental-water-guidance</vt:lpwstr>
      </vt:variant>
      <vt:variant>
        <vt:lpwstr/>
      </vt:variant>
      <vt:variant>
        <vt:i4>2293877</vt:i4>
      </vt:variant>
      <vt:variant>
        <vt:i4>0</vt:i4>
      </vt:variant>
      <vt:variant>
        <vt:i4>0</vt:i4>
      </vt:variant>
      <vt:variant>
        <vt:i4>5</vt:i4>
      </vt:variant>
      <vt:variant>
        <vt:lpwstr>https://www.dcceew.gov.au/sites/default/files/documents/strong-voices-healthy-waters-atsi-review-water-act.pdf</vt:lpwstr>
      </vt:variant>
      <vt:variant>
        <vt:lpwstr/>
      </vt:variant>
      <vt:variant>
        <vt:i4>7405598</vt:i4>
      </vt:variant>
      <vt:variant>
        <vt:i4>0</vt:i4>
      </vt:variant>
      <vt:variant>
        <vt:i4>0</vt:i4>
      </vt:variant>
      <vt:variant>
        <vt:i4>5</vt:i4>
      </vt:variant>
      <vt:variant>
        <vt:lpwstr>mailto:christine@irrigators.org.au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Water Act Review</dc:title>
  <dc:subject/>
  <dc:creator>NIC</dc:creator>
  <cp:keywords/>
  <dc:description/>
  <cp:lastModifiedBy>Zara Lowien</cp:lastModifiedBy>
  <cp:revision>565</cp:revision>
  <cp:lastPrinted>2026-05-07T20:54:00Z</cp:lastPrinted>
  <dcterms:created xsi:type="dcterms:W3CDTF">2026-05-08T18:09:00Z</dcterms:created>
  <dcterms:modified xsi:type="dcterms:W3CDTF">2026-06-26T03:30:00Z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0x010100585A1E11612CF340B16C95BCD3006626</vt:lpwstr>
  </property>
  <property fmtid="{D5CDD505-2E9C-101B-9397-08002B2CF9AE}" pid="3" name="MediaServiceImageTags">
    <vt:lpwstr/>
  </property>
</Properties>
</file>