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390C0" w14:textId="08DC6CA9" w:rsidR="00CF4F01" w:rsidRPr="00A707F3" w:rsidRDefault="00F947D7">
      <w:pPr>
        <w:spacing w:after="160" w:line="276" w:lineRule="auto"/>
        <w:rPr>
          <w:rFonts w:ascii="Century Gothic" w:hAnsi="Century Gothic"/>
          <w:sz w:val="22"/>
          <w:szCs w:val="22"/>
        </w:rPr>
      </w:pPr>
      <w:r>
        <w:rPr>
          <w:rFonts w:ascii="Century Gothic" w:hAnsi="Century Gothic"/>
          <w:sz w:val="22"/>
          <w:szCs w:val="22"/>
        </w:rPr>
        <w:t>XX</w:t>
      </w:r>
      <w:r w:rsidR="00EA6E08">
        <w:rPr>
          <w:rFonts w:ascii="Century Gothic" w:hAnsi="Century Gothic"/>
          <w:sz w:val="22"/>
          <w:szCs w:val="22"/>
        </w:rPr>
        <w:t xml:space="preserve"> July 2026</w:t>
      </w:r>
    </w:p>
    <w:p w14:paraId="1FBD7302" w14:textId="6C34C866" w:rsidR="00A7045B" w:rsidRPr="00A707F3" w:rsidRDefault="00C86539">
      <w:pPr>
        <w:spacing w:after="160" w:line="276" w:lineRule="auto"/>
        <w:rPr>
          <w:rFonts w:ascii="Century Gothic" w:hAnsi="Century Gothic"/>
        </w:rPr>
      </w:pPr>
      <w:r w:rsidRPr="00A707F3">
        <w:rPr>
          <w:rFonts w:ascii="Century Gothic" w:hAnsi="Century Gothic"/>
          <w:sz w:val="22"/>
          <w:szCs w:val="22"/>
        </w:rPr>
        <w:t>Ms Joanne Chong, Commissioner</w:t>
      </w:r>
    </w:p>
    <w:p w14:paraId="41F1C5C7" w14:textId="77777777" w:rsidR="00A7045B" w:rsidRPr="00A707F3" w:rsidRDefault="00C86539">
      <w:pPr>
        <w:spacing w:after="160" w:line="276" w:lineRule="auto"/>
        <w:rPr>
          <w:rFonts w:ascii="Century Gothic" w:hAnsi="Century Gothic"/>
        </w:rPr>
      </w:pPr>
      <w:r w:rsidRPr="00A707F3">
        <w:rPr>
          <w:rFonts w:ascii="Century Gothic" w:hAnsi="Century Gothic"/>
          <w:sz w:val="22"/>
          <w:szCs w:val="22"/>
        </w:rPr>
        <w:t>Mr Paul Wyrwoll, Associate Commissioner</w:t>
      </w:r>
    </w:p>
    <w:p w14:paraId="64B8CBE9" w14:textId="33551E21" w:rsidR="00A7045B" w:rsidRDefault="00C86539" w:rsidP="00EA6E08">
      <w:pPr>
        <w:spacing w:after="160" w:line="276" w:lineRule="auto"/>
        <w:rPr>
          <w:rFonts w:ascii="Century Gothic" w:hAnsi="Century Gothic"/>
        </w:rPr>
      </w:pPr>
      <w:r w:rsidRPr="00A707F3">
        <w:rPr>
          <w:rFonts w:ascii="Century Gothic" w:hAnsi="Century Gothic"/>
          <w:sz w:val="22"/>
          <w:szCs w:val="22"/>
        </w:rPr>
        <w:t>Productivity Commission</w:t>
      </w:r>
      <w:r w:rsidR="00EA6E08">
        <w:rPr>
          <w:rFonts w:ascii="Century Gothic" w:hAnsi="Century Gothic"/>
        </w:rPr>
        <w:tab/>
      </w:r>
      <w:r w:rsidR="00EA6E08">
        <w:rPr>
          <w:rFonts w:ascii="Century Gothic" w:hAnsi="Century Gothic"/>
        </w:rPr>
        <w:tab/>
      </w:r>
      <w:r w:rsidR="00EA6E08">
        <w:rPr>
          <w:rFonts w:ascii="Century Gothic" w:hAnsi="Century Gothic"/>
        </w:rPr>
        <w:tab/>
      </w:r>
      <w:r w:rsidR="00EA6E08">
        <w:rPr>
          <w:rFonts w:ascii="Century Gothic" w:hAnsi="Century Gothic"/>
        </w:rPr>
        <w:tab/>
      </w:r>
      <w:r w:rsidR="00EA6E08">
        <w:rPr>
          <w:rFonts w:ascii="Century Gothic" w:hAnsi="Century Gothic"/>
        </w:rPr>
        <w:tab/>
      </w:r>
      <w:r w:rsidR="00EA6E08">
        <w:rPr>
          <w:rFonts w:ascii="Century Gothic" w:hAnsi="Century Gothic"/>
        </w:rPr>
        <w:tab/>
      </w:r>
      <w:r w:rsidR="00EA6E08">
        <w:rPr>
          <w:rFonts w:ascii="Century Gothic" w:hAnsi="Century Gothic"/>
        </w:rPr>
        <w:tab/>
      </w:r>
      <w:r w:rsidR="00EA6E08">
        <w:rPr>
          <w:rFonts w:ascii="Century Gothic" w:hAnsi="Century Gothic"/>
        </w:rPr>
        <w:tab/>
        <w:t>Online Submission</w:t>
      </w:r>
    </w:p>
    <w:p w14:paraId="0CAD1607" w14:textId="77777777" w:rsidR="00BE3AF8" w:rsidRPr="00A707F3" w:rsidRDefault="00BE3AF8" w:rsidP="00EA6E08">
      <w:pPr>
        <w:spacing w:after="160" w:line="276" w:lineRule="auto"/>
        <w:rPr>
          <w:rFonts w:ascii="Century Gothic" w:hAnsi="Century Gothic"/>
        </w:rPr>
      </w:pPr>
    </w:p>
    <w:p w14:paraId="0EC96CB5" w14:textId="2BADCD6F" w:rsidR="00A7045B" w:rsidRPr="00A707F3" w:rsidRDefault="00C86539" w:rsidP="00EA6E08">
      <w:pPr>
        <w:spacing w:after="160" w:line="276" w:lineRule="auto"/>
        <w:rPr>
          <w:rFonts w:ascii="Century Gothic" w:hAnsi="Century Gothic"/>
        </w:rPr>
      </w:pPr>
      <w:r w:rsidRPr="00A707F3">
        <w:rPr>
          <w:rFonts w:ascii="Century Gothic" w:hAnsi="Century Gothic"/>
          <w:b/>
          <w:bCs/>
          <w:sz w:val="22"/>
          <w:szCs w:val="22"/>
        </w:rPr>
        <w:t>RE: National Irrigators’ Council response to the National Water Reform 2026 Interim Update</w:t>
      </w:r>
    </w:p>
    <w:p w14:paraId="43C94471" w14:textId="0E88FA92" w:rsidR="001F2626" w:rsidRDefault="0093033C">
      <w:pPr>
        <w:spacing w:after="160" w:line="276" w:lineRule="auto"/>
        <w:rPr>
          <w:rFonts w:ascii="Century Gothic" w:hAnsi="Century Gothic"/>
          <w:sz w:val="22"/>
          <w:szCs w:val="22"/>
        </w:rPr>
      </w:pPr>
      <w:r>
        <w:rPr>
          <w:rFonts w:ascii="Century Gothic" w:hAnsi="Century Gothic"/>
          <w:sz w:val="22"/>
          <w:szCs w:val="22"/>
        </w:rPr>
        <w:t xml:space="preserve">Dear Commissioners, </w:t>
      </w:r>
    </w:p>
    <w:p w14:paraId="485669DF" w14:textId="2908704F" w:rsidR="00A7045B" w:rsidRPr="00A707F3" w:rsidRDefault="00C86539">
      <w:pPr>
        <w:spacing w:after="160" w:line="276" w:lineRule="auto"/>
        <w:rPr>
          <w:rFonts w:ascii="Century Gothic" w:hAnsi="Century Gothic"/>
        </w:rPr>
      </w:pPr>
      <w:r w:rsidRPr="00A707F3">
        <w:rPr>
          <w:rFonts w:ascii="Century Gothic" w:hAnsi="Century Gothic"/>
          <w:sz w:val="22"/>
          <w:szCs w:val="22"/>
        </w:rPr>
        <w:t>The National Irrigators’ Council (NIC) is the peak industry body for irrigated agriculture in Australia, representing irrigation entitlement holders, irrigation delivery operators and industries involved in food and fibre production nationally. We welcome the opportunity to respond to the Productivity Commission’s (PC) interim update, National Water Reform 2026: Preliminary Assessment, and thank the Commission for its work to date.</w:t>
      </w:r>
    </w:p>
    <w:p w14:paraId="362863C8" w14:textId="0D1FA879" w:rsidR="00A7045B" w:rsidRDefault="00C86539">
      <w:pPr>
        <w:spacing w:after="160" w:line="276" w:lineRule="auto"/>
        <w:rPr>
          <w:rFonts w:ascii="Century Gothic" w:hAnsi="Century Gothic"/>
          <w:sz w:val="22"/>
          <w:szCs w:val="22"/>
        </w:rPr>
      </w:pPr>
      <w:r w:rsidRPr="00A707F3">
        <w:rPr>
          <w:rFonts w:ascii="Century Gothic" w:hAnsi="Century Gothic"/>
          <w:sz w:val="22"/>
          <w:szCs w:val="22"/>
        </w:rPr>
        <w:t xml:space="preserve">This response should be read alongside NIC’s earlier submissions </w:t>
      </w:r>
      <w:r w:rsidR="00C94A30" w:rsidRPr="00A707F3">
        <w:rPr>
          <w:rFonts w:ascii="Century Gothic" w:hAnsi="Century Gothic"/>
          <w:sz w:val="22"/>
          <w:szCs w:val="22"/>
        </w:rPr>
        <w:t>and</w:t>
      </w:r>
      <w:r w:rsidRPr="00A707F3">
        <w:rPr>
          <w:rFonts w:ascii="Century Gothic" w:hAnsi="Century Gothic"/>
          <w:sz w:val="22"/>
          <w:szCs w:val="22"/>
        </w:rPr>
        <w:t xml:space="preserve"> note the interim update itself references NIC’s May 2026 submission (sub. 65).</w:t>
      </w:r>
    </w:p>
    <w:p w14:paraId="47139B07" w14:textId="22CB9810" w:rsidR="00F147F1" w:rsidRPr="00A707F3" w:rsidRDefault="00F147F1">
      <w:pPr>
        <w:spacing w:after="160" w:line="276" w:lineRule="auto"/>
        <w:rPr>
          <w:rFonts w:ascii="Century Gothic" w:hAnsi="Century Gothic"/>
        </w:rPr>
      </w:pPr>
      <w:r>
        <w:rPr>
          <w:rFonts w:ascii="Century Gothic" w:hAnsi="Century Gothic"/>
          <w:sz w:val="22"/>
          <w:szCs w:val="22"/>
        </w:rPr>
        <w:t>Our feedback has focused on the information requests within the Interim Report.</w:t>
      </w:r>
    </w:p>
    <w:p w14:paraId="4688CC58" w14:textId="77777777" w:rsidR="00A7045B" w:rsidRPr="004F13A4" w:rsidRDefault="00C86539">
      <w:pPr>
        <w:pStyle w:val="Heading1"/>
        <w:spacing w:before="280" w:after="140"/>
        <w:rPr>
          <w:rFonts w:ascii="Century Gothic" w:hAnsi="Century Gothic"/>
        </w:rPr>
      </w:pPr>
      <w:r w:rsidRPr="004F13A4">
        <w:rPr>
          <w:rFonts w:ascii="Century Gothic" w:hAnsi="Century Gothic"/>
          <w:color w:val="1F3864"/>
          <w:sz w:val="26"/>
          <w:szCs w:val="26"/>
        </w:rPr>
        <w:t>General comments on the interim update process</w:t>
      </w:r>
    </w:p>
    <w:p w14:paraId="091419E6" w14:textId="57253A5D" w:rsidR="00A7045B" w:rsidRPr="00A707F3" w:rsidRDefault="00C86539">
      <w:pPr>
        <w:spacing w:after="160" w:line="276" w:lineRule="auto"/>
        <w:rPr>
          <w:rFonts w:ascii="Century Gothic" w:hAnsi="Century Gothic"/>
        </w:rPr>
      </w:pPr>
      <w:r w:rsidRPr="00A707F3">
        <w:rPr>
          <w:rFonts w:ascii="Century Gothic" w:hAnsi="Century Gothic"/>
          <w:sz w:val="22"/>
          <w:szCs w:val="22"/>
        </w:rPr>
        <w:t>NIC</w:t>
      </w:r>
      <w:r w:rsidR="005E5145">
        <w:rPr>
          <w:rFonts w:ascii="Century Gothic" w:hAnsi="Century Gothic"/>
          <w:sz w:val="22"/>
          <w:szCs w:val="22"/>
        </w:rPr>
        <w:t xml:space="preserve"> again</w:t>
      </w:r>
      <w:r w:rsidRPr="00A707F3">
        <w:rPr>
          <w:rFonts w:ascii="Century Gothic" w:hAnsi="Century Gothic"/>
          <w:sz w:val="22"/>
          <w:szCs w:val="22"/>
        </w:rPr>
        <w:t xml:space="preserve"> notes that this consultation is occurring within an extremely compressed timeframe </w:t>
      </w:r>
      <w:r w:rsidR="00DE509D" w:rsidRPr="00A707F3">
        <w:rPr>
          <w:rFonts w:ascii="Century Gothic" w:hAnsi="Century Gothic"/>
          <w:sz w:val="22"/>
          <w:szCs w:val="22"/>
        </w:rPr>
        <w:t xml:space="preserve">with </w:t>
      </w:r>
      <w:r w:rsidRPr="00A707F3">
        <w:rPr>
          <w:rFonts w:ascii="Century Gothic" w:hAnsi="Century Gothic"/>
          <w:sz w:val="22"/>
          <w:szCs w:val="22"/>
        </w:rPr>
        <w:t xml:space="preserve">submissions on a wide-ranging and technical interim update are due within </w:t>
      </w:r>
      <w:r w:rsidR="00C94A30" w:rsidRPr="00A707F3">
        <w:rPr>
          <w:rFonts w:ascii="Century Gothic" w:hAnsi="Century Gothic"/>
          <w:sz w:val="22"/>
          <w:szCs w:val="22"/>
        </w:rPr>
        <w:t>weeks</w:t>
      </w:r>
      <w:r w:rsidRPr="00A707F3">
        <w:rPr>
          <w:rFonts w:ascii="Century Gothic" w:hAnsi="Century Gothic"/>
          <w:sz w:val="22"/>
          <w:szCs w:val="22"/>
        </w:rPr>
        <w:t xml:space="preserve"> of its release, and the PC must deliver its final report to Government by 4 September 2026. We recognise the PC did not set these timeframes, however we reiterate the concern raised in our May 2026 submission that the current environment of concurrent, overlapping reviews – this inquiry, the Murray–Darling Basin Plan Review, the Water Act 2007 review, the Menindee Lakes Review, the Inspector-General of Water Compliance review, and the parallel development of the NWA – is placing a significant resourcing burden on stakeholders and risks a lack of considered engagement. A shortage of detailed submissions from water users to any one of these processes should not be read as a lack of interest or concern.</w:t>
      </w:r>
    </w:p>
    <w:p w14:paraId="63323C6F" w14:textId="196C24A9" w:rsidR="00A7045B" w:rsidRPr="00A707F3" w:rsidRDefault="00C86539">
      <w:pPr>
        <w:spacing w:after="160" w:line="276" w:lineRule="auto"/>
        <w:rPr>
          <w:rFonts w:ascii="Century Gothic" w:hAnsi="Century Gothic"/>
        </w:rPr>
      </w:pPr>
      <w:r w:rsidRPr="00A707F3">
        <w:rPr>
          <w:rFonts w:ascii="Century Gothic" w:hAnsi="Century Gothic"/>
          <w:sz w:val="22"/>
          <w:szCs w:val="22"/>
        </w:rPr>
        <w:t xml:space="preserve">NIC also reiterates our concern that this NWI assessment is occurring while the future of national water policy itself remains unresolved. At the time of writing, the status of the NWA </w:t>
      </w:r>
      <w:r w:rsidR="00C94A30" w:rsidRPr="00A707F3">
        <w:rPr>
          <w:rFonts w:ascii="Century Gothic" w:hAnsi="Century Gothic"/>
          <w:sz w:val="22"/>
          <w:szCs w:val="22"/>
        </w:rPr>
        <w:t>remains</w:t>
      </w:r>
      <w:r w:rsidRPr="00A707F3">
        <w:rPr>
          <w:rFonts w:ascii="Century Gothic" w:hAnsi="Century Gothic"/>
          <w:sz w:val="22"/>
          <w:szCs w:val="22"/>
        </w:rPr>
        <w:t xml:space="preserve"> unclear, with </w:t>
      </w:r>
      <w:r w:rsidR="00C94A30" w:rsidRPr="00A707F3">
        <w:rPr>
          <w:rFonts w:ascii="Century Gothic" w:hAnsi="Century Gothic"/>
          <w:sz w:val="22"/>
          <w:szCs w:val="22"/>
        </w:rPr>
        <w:t>only the Commonwealth Government signing and</w:t>
      </w:r>
      <w:r w:rsidRPr="00A707F3">
        <w:rPr>
          <w:rFonts w:ascii="Century Gothic" w:hAnsi="Century Gothic"/>
          <w:sz w:val="22"/>
          <w:szCs w:val="22"/>
        </w:rPr>
        <w:t xml:space="preserve"> no shared understanding among stakeholders and jurisdictions of </w:t>
      </w:r>
      <w:r w:rsidR="00C94A30" w:rsidRPr="00A707F3">
        <w:rPr>
          <w:rFonts w:ascii="Century Gothic" w:hAnsi="Century Gothic"/>
          <w:sz w:val="22"/>
          <w:szCs w:val="22"/>
        </w:rPr>
        <w:t xml:space="preserve">what the final agreement includes, </w:t>
      </w:r>
      <w:r w:rsidRPr="00A707F3">
        <w:rPr>
          <w:rFonts w:ascii="Century Gothic" w:hAnsi="Century Gothic"/>
          <w:sz w:val="22"/>
          <w:szCs w:val="22"/>
        </w:rPr>
        <w:t>how binding its principles are, or what financial support will accompany implementation. We</w:t>
      </w:r>
      <w:r w:rsidR="00F25CAD">
        <w:rPr>
          <w:rFonts w:ascii="Century Gothic" w:hAnsi="Century Gothic"/>
          <w:sz w:val="22"/>
          <w:szCs w:val="22"/>
        </w:rPr>
        <w:t xml:space="preserve"> recognise the PC captured elements of this in its interim report, we</w:t>
      </w:r>
      <w:r w:rsidRPr="00A707F3">
        <w:rPr>
          <w:rFonts w:ascii="Century Gothic" w:hAnsi="Century Gothic"/>
          <w:sz w:val="22"/>
          <w:szCs w:val="22"/>
        </w:rPr>
        <w:t xml:space="preserve"> ask the PC to use its final report to</w:t>
      </w:r>
      <w:r w:rsidR="001B12E8" w:rsidRPr="00A707F3">
        <w:rPr>
          <w:rFonts w:ascii="Century Gothic" w:hAnsi="Century Gothic"/>
          <w:sz w:val="22"/>
          <w:szCs w:val="22"/>
        </w:rPr>
        <w:t xml:space="preserve"> </w:t>
      </w:r>
      <w:r w:rsidRPr="00A707F3">
        <w:rPr>
          <w:rFonts w:ascii="Century Gothic" w:hAnsi="Century Gothic"/>
          <w:sz w:val="22"/>
          <w:szCs w:val="22"/>
        </w:rPr>
        <w:t xml:space="preserve">set out how the transition between an NWI </w:t>
      </w:r>
      <w:r w:rsidR="00D74484" w:rsidRPr="00A707F3">
        <w:rPr>
          <w:rFonts w:ascii="Century Gothic" w:hAnsi="Century Gothic"/>
          <w:sz w:val="22"/>
          <w:szCs w:val="22"/>
        </w:rPr>
        <w:t>assessment,</w:t>
      </w:r>
      <w:r w:rsidRPr="00A707F3">
        <w:rPr>
          <w:rFonts w:ascii="Century Gothic" w:hAnsi="Century Gothic"/>
          <w:sz w:val="22"/>
          <w:szCs w:val="22"/>
        </w:rPr>
        <w:t xml:space="preserve"> and any future NWA </w:t>
      </w:r>
      <w:r w:rsidRPr="00A707F3">
        <w:rPr>
          <w:rFonts w:ascii="Century Gothic" w:hAnsi="Century Gothic"/>
          <w:sz w:val="22"/>
          <w:szCs w:val="22"/>
        </w:rPr>
        <w:lastRenderedPageBreak/>
        <w:t>assessment will occur, and what happens if adoption of the NWA is inconsistent across jurisdictions</w:t>
      </w:r>
      <w:r w:rsidR="00C123BD">
        <w:rPr>
          <w:rFonts w:ascii="Century Gothic" w:hAnsi="Century Gothic"/>
          <w:sz w:val="22"/>
          <w:szCs w:val="22"/>
        </w:rPr>
        <w:t xml:space="preserve"> i.e. provide guidance on the future role of the PC</w:t>
      </w:r>
      <w:r w:rsidRPr="00A707F3">
        <w:rPr>
          <w:rFonts w:ascii="Century Gothic" w:hAnsi="Century Gothic"/>
          <w:sz w:val="22"/>
          <w:szCs w:val="22"/>
        </w:rPr>
        <w:t>.</w:t>
      </w:r>
    </w:p>
    <w:p w14:paraId="19454ACA" w14:textId="77777777" w:rsidR="00A7045B" w:rsidRPr="00F147F1" w:rsidRDefault="00C86539">
      <w:pPr>
        <w:pStyle w:val="Heading1"/>
        <w:spacing w:before="280" w:after="140"/>
        <w:rPr>
          <w:rFonts w:ascii="Century Gothic" w:hAnsi="Century Gothic"/>
        </w:rPr>
      </w:pPr>
      <w:r w:rsidRPr="00F147F1">
        <w:rPr>
          <w:rFonts w:ascii="Century Gothic" w:hAnsi="Century Gothic"/>
          <w:color w:val="1F3864"/>
          <w:sz w:val="26"/>
          <w:szCs w:val="26"/>
        </w:rPr>
        <w:t>Response to Information Request 1 – overall feedback on the interim assessment</w:t>
      </w:r>
    </w:p>
    <w:p w14:paraId="1252E068" w14:textId="238D3F95" w:rsidR="00A7045B" w:rsidRPr="00A707F3" w:rsidRDefault="00C86539">
      <w:pPr>
        <w:spacing w:after="160" w:line="276" w:lineRule="auto"/>
        <w:rPr>
          <w:rFonts w:ascii="Century Gothic" w:hAnsi="Century Gothic"/>
        </w:rPr>
      </w:pPr>
      <w:r w:rsidRPr="00A707F3">
        <w:rPr>
          <w:rFonts w:ascii="Century Gothic" w:hAnsi="Century Gothic"/>
          <w:sz w:val="22"/>
          <w:szCs w:val="22"/>
        </w:rPr>
        <w:t xml:space="preserve">NIC </w:t>
      </w:r>
      <w:r w:rsidR="00FC67E9" w:rsidRPr="00A707F3">
        <w:rPr>
          <w:rFonts w:ascii="Century Gothic" w:hAnsi="Century Gothic"/>
          <w:sz w:val="22"/>
          <w:szCs w:val="22"/>
        </w:rPr>
        <w:t>largely supports</w:t>
      </w:r>
      <w:r w:rsidRPr="00A707F3">
        <w:rPr>
          <w:rFonts w:ascii="Century Gothic" w:hAnsi="Century Gothic"/>
          <w:sz w:val="22"/>
          <w:szCs w:val="22"/>
        </w:rPr>
        <w:t xml:space="preserve"> the PC’s interim assessment ratings </w:t>
      </w:r>
      <w:r w:rsidR="006C2CA4">
        <w:rPr>
          <w:rFonts w:ascii="Century Gothic" w:hAnsi="Century Gothic"/>
          <w:sz w:val="22"/>
          <w:szCs w:val="22"/>
        </w:rPr>
        <w:t>–</w:t>
      </w:r>
      <w:r w:rsidRPr="00A707F3">
        <w:rPr>
          <w:rFonts w:ascii="Century Gothic" w:hAnsi="Century Gothic"/>
          <w:sz w:val="22"/>
          <w:szCs w:val="22"/>
        </w:rPr>
        <w:t xml:space="preserve"> unchanged from 2024 – broadly reflect the state of national progress</w:t>
      </w:r>
      <w:r w:rsidR="006C2CA4">
        <w:rPr>
          <w:rFonts w:ascii="Century Gothic" w:hAnsi="Century Gothic"/>
          <w:sz w:val="22"/>
          <w:szCs w:val="22"/>
        </w:rPr>
        <w:t xml:space="preserve">, however we recommend </w:t>
      </w:r>
      <w:r w:rsidR="00944098">
        <w:rPr>
          <w:rFonts w:ascii="Century Gothic" w:hAnsi="Century Gothic"/>
          <w:sz w:val="22"/>
          <w:szCs w:val="22"/>
        </w:rPr>
        <w:t xml:space="preserve">providing clarity on a state or regional basis (such as the Murray Darling Basin) to highlight where progress has </w:t>
      </w:r>
      <w:r w:rsidR="004F13A4">
        <w:rPr>
          <w:rFonts w:ascii="Century Gothic" w:hAnsi="Century Gothic"/>
          <w:sz w:val="22"/>
          <w:szCs w:val="22"/>
        </w:rPr>
        <w:t>occurred</w:t>
      </w:r>
      <w:r w:rsidRPr="00A707F3">
        <w:rPr>
          <w:rFonts w:ascii="Century Gothic" w:hAnsi="Century Gothic"/>
          <w:sz w:val="22"/>
          <w:szCs w:val="22"/>
        </w:rPr>
        <w:t>. We offer the following evidence and observations to inform the final assessment</w:t>
      </w:r>
      <w:r w:rsidR="00FC67E9" w:rsidRPr="00A707F3">
        <w:rPr>
          <w:rFonts w:ascii="Century Gothic" w:hAnsi="Century Gothic"/>
          <w:sz w:val="22"/>
          <w:szCs w:val="22"/>
        </w:rPr>
        <w:t xml:space="preserve"> on key areas of differences between the PC assessment and our own position</w:t>
      </w:r>
      <w:r w:rsidRPr="00A707F3">
        <w:rPr>
          <w:rFonts w:ascii="Century Gothic" w:hAnsi="Century Gothic"/>
          <w:sz w:val="22"/>
          <w:szCs w:val="22"/>
        </w:rPr>
        <w:t>.</w:t>
      </w:r>
    </w:p>
    <w:p w14:paraId="2C4AE808" w14:textId="7D2B9C13" w:rsidR="00C94A30" w:rsidRPr="00A707F3" w:rsidRDefault="00C94A30" w:rsidP="00C94A30">
      <w:pPr>
        <w:pStyle w:val="Heading2"/>
        <w:rPr>
          <w:rFonts w:ascii="Century Gothic" w:hAnsi="Century Gothic"/>
        </w:rPr>
      </w:pPr>
      <w:r w:rsidRPr="00A707F3">
        <w:rPr>
          <w:rFonts w:ascii="Century Gothic" w:hAnsi="Century Gothic"/>
        </w:rPr>
        <w:t>Overallocation and overuse:</w:t>
      </w:r>
    </w:p>
    <w:p w14:paraId="29FAD527" w14:textId="3490D50A" w:rsidR="007E420B" w:rsidRPr="00A707F3" w:rsidRDefault="00C86539">
      <w:pPr>
        <w:spacing w:after="160" w:line="276" w:lineRule="auto"/>
        <w:rPr>
          <w:rFonts w:ascii="Century Gothic" w:hAnsi="Century Gothic"/>
          <w:sz w:val="22"/>
          <w:szCs w:val="22"/>
        </w:rPr>
      </w:pPr>
      <w:r w:rsidRPr="00A707F3">
        <w:rPr>
          <w:rFonts w:ascii="Century Gothic" w:hAnsi="Century Gothic"/>
          <w:sz w:val="22"/>
          <w:szCs w:val="22"/>
        </w:rPr>
        <w:t>Overallocation and overuse are no longer the central problem for water management in Australia</w:t>
      </w:r>
      <w:r w:rsidR="00AA271D" w:rsidRPr="00A707F3">
        <w:rPr>
          <w:rFonts w:ascii="Century Gothic" w:hAnsi="Century Gothic"/>
          <w:sz w:val="22"/>
          <w:szCs w:val="22"/>
        </w:rPr>
        <w:t>,</w:t>
      </w:r>
      <w:r w:rsidR="0015096E" w:rsidRPr="00A707F3">
        <w:rPr>
          <w:rFonts w:ascii="Century Gothic" w:hAnsi="Century Gothic"/>
          <w:sz w:val="22"/>
          <w:szCs w:val="22"/>
        </w:rPr>
        <w:t xml:space="preserve"> the lessons learnt from the Murray Darling Basin are clearly articulated in risk-based </w:t>
      </w:r>
      <w:r w:rsidR="00B4787A" w:rsidRPr="00A707F3">
        <w:rPr>
          <w:rFonts w:ascii="Century Gothic" w:hAnsi="Century Gothic"/>
          <w:sz w:val="22"/>
          <w:szCs w:val="22"/>
        </w:rPr>
        <w:t xml:space="preserve">planning and monitoring </w:t>
      </w:r>
      <w:r w:rsidR="0015096E" w:rsidRPr="00A707F3">
        <w:rPr>
          <w:rFonts w:ascii="Century Gothic" w:hAnsi="Century Gothic"/>
          <w:sz w:val="22"/>
          <w:szCs w:val="22"/>
        </w:rPr>
        <w:t>systems around Australia.</w:t>
      </w:r>
      <w:r w:rsidR="00E31D83">
        <w:rPr>
          <w:rFonts w:ascii="Century Gothic" w:hAnsi="Century Gothic"/>
          <w:sz w:val="22"/>
          <w:szCs w:val="22"/>
        </w:rPr>
        <w:t xml:space="preserve">  We </w:t>
      </w:r>
      <w:r w:rsidR="00173492">
        <w:rPr>
          <w:rFonts w:ascii="Century Gothic" w:hAnsi="Century Gothic"/>
          <w:sz w:val="22"/>
          <w:szCs w:val="22"/>
        </w:rPr>
        <w:t>acknowledge</w:t>
      </w:r>
      <w:r w:rsidR="00E31D83">
        <w:rPr>
          <w:rFonts w:ascii="Century Gothic" w:hAnsi="Century Gothic"/>
          <w:sz w:val="22"/>
          <w:szCs w:val="22"/>
        </w:rPr>
        <w:t xml:space="preserve"> not all </w:t>
      </w:r>
      <w:r w:rsidR="00173492">
        <w:rPr>
          <w:rFonts w:ascii="Century Gothic" w:hAnsi="Century Gothic"/>
          <w:sz w:val="22"/>
          <w:szCs w:val="22"/>
        </w:rPr>
        <w:t>jurisdictions</w:t>
      </w:r>
      <w:r w:rsidR="00E31D83">
        <w:rPr>
          <w:rFonts w:ascii="Century Gothic" w:hAnsi="Century Gothic"/>
          <w:sz w:val="22"/>
          <w:szCs w:val="22"/>
        </w:rPr>
        <w:t xml:space="preserve"> ha</w:t>
      </w:r>
      <w:r w:rsidR="00BD6E9F">
        <w:rPr>
          <w:rFonts w:ascii="Century Gothic" w:hAnsi="Century Gothic"/>
          <w:sz w:val="22"/>
          <w:szCs w:val="22"/>
        </w:rPr>
        <w:t xml:space="preserve">ve </w:t>
      </w:r>
      <w:r w:rsidR="00173492">
        <w:rPr>
          <w:rFonts w:ascii="Century Gothic" w:hAnsi="Century Gothic"/>
          <w:sz w:val="22"/>
          <w:szCs w:val="22"/>
        </w:rPr>
        <w:t xml:space="preserve">the same approach nor </w:t>
      </w:r>
      <w:r w:rsidR="00BD6E9F">
        <w:rPr>
          <w:rFonts w:ascii="Century Gothic" w:hAnsi="Century Gothic"/>
          <w:sz w:val="22"/>
          <w:szCs w:val="22"/>
        </w:rPr>
        <w:t xml:space="preserve">separate entitlements to land </w:t>
      </w:r>
      <w:r w:rsidR="00173492">
        <w:rPr>
          <w:rFonts w:ascii="Century Gothic" w:hAnsi="Century Gothic"/>
          <w:sz w:val="22"/>
          <w:szCs w:val="22"/>
        </w:rPr>
        <w:t>with</w:t>
      </w:r>
      <w:r w:rsidR="00BD6E9F">
        <w:rPr>
          <w:rFonts w:ascii="Century Gothic" w:hAnsi="Century Gothic"/>
          <w:sz w:val="22"/>
          <w:szCs w:val="22"/>
        </w:rPr>
        <w:t xml:space="preserve"> allocation systems,</w:t>
      </w:r>
      <w:r w:rsidR="00F9758D">
        <w:rPr>
          <w:rFonts w:ascii="Century Gothic" w:hAnsi="Century Gothic"/>
          <w:sz w:val="22"/>
          <w:szCs w:val="22"/>
        </w:rPr>
        <w:t xml:space="preserve"> and there is a small number of at-risk systems</w:t>
      </w:r>
      <w:r w:rsidR="00BD6E9F">
        <w:rPr>
          <w:rFonts w:ascii="Century Gothic" w:hAnsi="Century Gothic"/>
          <w:sz w:val="22"/>
          <w:szCs w:val="22"/>
        </w:rPr>
        <w:t xml:space="preserve"> </w:t>
      </w:r>
      <w:r w:rsidR="00F9758D">
        <w:rPr>
          <w:rFonts w:ascii="Century Gothic" w:hAnsi="Century Gothic"/>
          <w:sz w:val="22"/>
          <w:szCs w:val="22"/>
        </w:rPr>
        <w:t xml:space="preserve">however </w:t>
      </w:r>
      <w:proofErr w:type="spellStart"/>
      <w:r w:rsidR="00F9758D">
        <w:rPr>
          <w:rFonts w:ascii="Century Gothic" w:hAnsi="Century Gothic"/>
          <w:sz w:val="22"/>
          <w:szCs w:val="22"/>
        </w:rPr>
        <w:t>a</w:t>
      </w:r>
      <w:proofErr w:type="spellEnd"/>
      <w:r w:rsidR="00F9758D">
        <w:rPr>
          <w:rFonts w:ascii="Century Gothic" w:hAnsi="Century Gothic"/>
          <w:sz w:val="22"/>
          <w:szCs w:val="22"/>
        </w:rPr>
        <w:t xml:space="preserve"> great outcome of the NWI is that</w:t>
      </w:r>
      <w:r w:rsidR="00BD6E9F">
        <w:rPr>
          <w:rFonts w:ascii="Century Gothic" w:hAnsi="Century Gothic"/>
          <w:sz w:val="22"/>
          <w:szCs w:val="22"/>
        </w:rPr>
        <w:t xml:space="preserve"> all do have a planning process that cons</w:t>
      </w:r>
      <w:r w:rsidR="00F17E39">
        <w:rPr>
          <w:rFonts w:ascii="Century Gothic" w:hAnsi="Century Gothic"/>
          <w:sz w:val="22"/>
          <w:szCs w:val="22"/>
        </w:rPr>
        <w:t>iders yield, inflows and extraction and environmental and human needs, before setting sustainable lim</w:t>
      </w:r>
      <w:r w:rsidR="00173492">
        <w:rPr>
          <w:rFonts w:ascii="Century Gothic" w:hAnsi="Century Gothic"/>
          <w:sz w:val="22"/>
          <w:szCs w:val="22"/>
        </w:rPr>
        <w:t xml:space="preserve">its and have monitoring and review systems in place. </w:t>
      </w:r>
      <w:r w:rsidR="0015096E" w:rsidRPr="00A707F3">
        <w:rPr>
          <w:rFonts w:ascii="Century Gothic" w:hAnsi="Century Gothic"/>
          <w:sz w:val="22"/>
          <w:szCs w:val="22"/>
        </w:rPr>
        <w:t xml:space="preserve">  Y</w:t>
      </w:r>
      <w:r w:rsidR="00AA271D" w:rsidRPr="00A707F3">
        <w:rPr>
          <w:rFonts w:ascii="Century Gothic" w:hAnsi="Century Gothic"/>
          <w:sz w:val="22"/>
          <w:szCs w:val="22"/>
        </w:rPr>
        <w:t>et the PC assessment remains as partially achieved</w:t>
      </w:r>
      <w:r w:rsidR="007E420B" w:rsidRPr="00A707F3">
        <w:rPr>
          <w:rFonts w:ascii="Century Gothic" w:hAnsi="Century Gothic"/>
          <w:sz w:val="22"/>
          <w:szCs w:val="22"/>
        </w:rPr>
        <w:t>.</w:t>
      </w:r>
    </w:p>
    <w:p w14:paraId="77F24D8C" w14:textId="49A1CFB0" w:rsidR="00C94A30" w:rsidRPr="00A707F3" w:rsidRDefault="007E420B">
      <w:pPr>
        <w:spacing w:after="160" w:line="276" w:lineRule="auto"/>
        <w:rPr>
          <w:rFonts w:ascii="Century Gothic" w:hAnsi="Century Gothic"/>
          <w:sz w:val="22"/>
          <w:szCs w:val="22"/>
        </w:rPr>
      </w:pPr>
      <w:r w:rsidRPr="00A707F3">
        <w:rPr>
          <w:rFonts w:ascii="Century Gothic" w:hAnsi="Century Gothic"/>
          <w:sz w:val="22"/>
          <w:szCs w:val="22"/>
        </w:rPr>
        <w:t>In the Murray Darling Basin, t</w:t>
      </w:r>
      <w:r w:rsidR="00C86539" w:rsidRPr="00A707F3">
        <w:rPr>
          <w:rFonts w:ascii="Century Gothic" w:hAnsi="Century Gothic"/>
          <w:sz w:val="22"/>
          <w:szCs w:val="22"/>
        </w:rPr>
        <w:t>hree decades of reform</w:t>
      </w:r>
      <w:r w:rsidR="00583F80" w:rsidRPr="00A707F3">
        <w:rPr>
          <w:rFonts w:ascii="Century Gothic" w:hAnsi="Century Gothic"/>
          <w:sz w:val="22"/>
          <w:szCs w:val="22"/>
        </w:rPr>
        <w:t xml:space="preserve"> and more than </w:t>
      </w:r>
      <w:r w:rsidR="00C86539" w:rsidRPr="00A707F3">
        <w:rPr>
          <w:rFonts w:ascii="Century Gothic" w:hAnsi="Century Gothic"/>
          <w:sz w:val="22"/>
          <w:szCs w:val="22"/>
        </w:rPr>
        <w:t xml:space="preserve">$13 billion </w:t>
      </w:r>
      <w:r w:rsidR="00583F80" w:rsidRPr="00A707F3">
        <w:rPr>
          <w:rFonts w:ascii="Century Gothic" w:hAnsi="Century Gothic"/>
          <w:sz w:val="22"/>
          <w:szCs w:val="22"/>
        </w:rPr>
        <w:t>investment</w:t>
      </w:r>
      <w:r w:rsidR="00C86539" w:rsidRPr="00A707F3">
        <w:rPr>
          <w:rFonts w:ascii="Century Gothic" w:hAnsi="Century Gothic"/>
          <w:sz w:val="22"/>
          <w:szCs w:val="22"/>
        </w:rPr>
        <w:t xml:space="preserve">, have delivered a substantial rebalancing of water shares. </w:t>
      </w:r>
      <w:r w:rsidR="00C94A30" w:rsidRPr="00A707F3">
        <w:rPr>
          <w:rFonts w:ascii="Century Gothic" w:hAnsi="Century Gothic"/>
          <w:sz w:val="22"/>
          <w:szCs w:val="22"/>
        </w:rPr>
        <w:t>Reforms lead through the NWI now mean in the Murray Darling Baisn</w:t>
      </w:r>
      <w:r w:rsidR="00C86539" w:rsidRPr="00A707F3">
        <w:rPr>
          <w:rFonts w:ascii="Century Gothic" w:hAnsi="Century Gothic"/>
          <w:sz w:val="22"/>
          <w:szCs w:val="22"/>
        </w:rPr>
        <w:t xml:space="preserve"> </w:t>
      </w:r>
      <w:r w:rsidR="00EE09A2" w:rsidRPr="00A707F3">
        <w:rPr>
          <w:rFonts w:ascii="Century Gothic" w:hAnsi="Century Gothic"/>
          <w:sz w:val="22"/>
          <w:szCs w:val="22"/>
        </w:rPr>
        <w:t xml:space="preserve">new Sustainable Diversion Limits set at an </w:t>
      </w:r>
      <w:r w:rsidR="00CE12C2" w:rsidRPr="00A707F3">
        <w:rPr>
          <w:rFonts w:ascii="Century Gothic" w:hAnsi="Century Gothic"/>
          <w:sz w:val="22"/>
          <w:szCs w:val="22"/>
        </w:rPr>
        <w:t>Environmentally</w:t>
      </w:r>
      <w:r w:rsidR="00EE09A2" w:rsidRPr="00A707F3">
        <w:rPr>
          <w:rFonts w:ascii="Century Gothic" w:hAnsi="Century Gothic"/>
          <w:sz w:val="22"/>
          <w:szCs w:val="22"/>
        </w:rPr>
        <w:t xml:space="preserve"> Sustainable Level of Take are in force and </w:t>
      </w:r>
      <w:r w:rsidR="00EE5C57" w:rsidRPr="00A707F3">
        <w:rPr>
          <w:rFonts w:ascii="Century Gothic" w:hAnsi="Century Gothic"/>
          <w:sz w:val="22"/>
          <w:szCs w:val="22"/>
        </w:rPr>
        <w:t xml:space="preserve">with annual compliance reporting, meaning </w:t>
      </w:r>
      <w:r w:rsidR="00C86539" w:rsidRPr="00A707F3">
        <w:rPr>
          <w:rFonts w:ascii="Century Gothic" w:hAnsi="Century Gothic"/>
          <w:sz w:val="22"/>
          <w:szCs w:val="22"/>
        </w:rPr>
        <w:t xml:space="preserve">72 </w:t>
      </w:r>
      <w:r w:rsidR="00AA3A0F">
        <w:rPr>
          <w:rFonts w:ascii="Century Gothic" w:hAnsi="Century Gothic"/>
          <w:sz w:val="22"/>
          <w:szCs w:val="22"/>
        </w:rPr>
        <w:t>percent</w:t>
      </w:r>
      <w:r w:rsidR="00C86539" w:rsidRPr="00A707F3">
        <w:rPr>
          <w:rFonts w:ascii="Century Gothic" w:hAnsi="Century Gothic"/>
          <w:sz w:val="22"/>
          <w:szCs w:val="22"/>
        </w:rPr>
        <w:t xml:space="preserve"> of inflows remain in rivers for the environment, with 28 </w:t>
      </w:r>
      <w:r w:rsidR="00AA3A0F">
        <w:rPr>
          <w:rFonts w:ascii="Century Gothic" w:hAnsi="Century Gothic"/>
          <w:sz w:val="22"/>
          <w:szCs w:val="22"/>
        </w:rPr>
        <w:t>percent</w:t>
      </w:r>
      <w:r w:rsidR="00C86539" w:rsidRPr="00A707F3">
        <w:rPr>
          <w:rFonts w:ascii="Century Gothic" w:hAnsi="Century Gothic"/>
          <w:sz w:val="22"/>
          <w:szCs w:val="22"/>
        </w:rPr>
        <w:t xml:space="preserve"> available for consumptive use</w:t>
      </w:r>
      <w:r w:rsidR="00AC5BDD" w:rsidRPr="00A707F3">
        <w:rPr>
          <w:rFonts w:ascii="Century Gothic" w:hAnsi="Century Gothic"/>
          <w:sz w:val="22"/>
          <w:szCs w:val="22"/>
        </w:rPr>
        <w:t xml:space="preserve"> and extracted</w:t>
      </w:r>
      <w:r w:rsidR="00C86539" w:rsidRPr="00A707F3">
        <w:rPr>
          <w:rFonts w:ascii="Century Gothic" w:hAnsi="Century Gothic"/>
          <w:sz w:val="22"/>
          <w:szCs w:val="22"/>
        </w:rPr>
        <w:t xml:space="preserve">. </w:t>
      </w:r>
    </w:p>
    <w:p w14:paraId="1077B207" w14:textId="517EF7EE" w:rsidR="00A7045B" w:rsidRPr="00A707F3" w:rsidRDefault="00C86539">
      <w:pPr>
        <w:spacing w:after="160" w:line="276" w:lineRule="auto"/>
        <w:rPr>
          <w:rFonts w:ascii="Century Gothic" w:hAnsi="Century Gothic"/>
          <w:sz w:val="22"/>
          <w:szCs w:val="22"/>
        </w:rPr>
      </w:pPr>
      <w:r w:rsidRPr="00A707F3">
        <w:rPr>
          <w:rFonts w:ascii="Century Gothic" w:hAnsi="Century Gothic"/>
          <w:sz w:val="22"/>
          <w:szCs w:val="22"/>
        </w:rPr>
        <w:t xml:space="preserve">NIC’s analysis of the MDBA’s initial Sustainable Diversion Limit assessments found that 92 </w:t>
      </w:r>
      <w:r w:rsidR="00AA3A0F">
        <w:rPr>
          <w:rFonts w:ascii="Century Gothic" w:hAnsi="Century Gothic"/>
          <w:sz w:val="22"/>
          <w:szCs w:val="22"/>
        </w:rPr>
        <w:t>percent</w:t>
      </w:r>
      <w:r w:rsidRPr="00A707F3">
        <w:rPr>
          <w:rFonts w:ascii="Century Gothic" w:hAnsi="Century Gothic"/>
          <w:sz w:val="22"/>
          <w:szCs w:val="22"/>
        </w:rPr>
        <w:t xml:space="preserve"> of environmental indicators across all Basin water sources showed no improvement from further water recovery and of the 8 </w:t>
      </w:r>
      <w:r w:rsidR="00AA3A0F">
        <w:rPr>
          <w:rFonts w:ascii="Century Gothic" w:hAnsi="Century Gothic"/>
          <w:sz w:val="22"/>
          <w:szCs w:val="22"/>
        </w:rPr>
        <w:t>percent</w:t>
      </w:r>
      <w:r w:rsidRPr="00A707F3">
        <w:rPr>
          <w:rFonts w:ascii="Century Gothic" w:hAnsi="Century Gothic"/>
          <w:sz w:val="22"/>
          <w:szCs w:val="22"/>
        </w:rPr>
        <w:t xml:space="preserve"> that did show a change, this was frequently from an already positive baseline and with low or medium confidence.</w:t>
      </w:r>
    </w:p>
    <w:p w14:paraId="0B426449" w14:textId="2F81D50A" w:rsidR="00AA271D" w:rsidRPr="00A707F3" w:rsidRDefault="00AA271D">
      <w:pPr>
        <w:spacing w:after="160" w:line="276" w:lineRule="auto"/>
        <w:rPr>
          <w:rFonts w:ascii="Century Gothic" w:hAnsi="Century Gothic"/>
        </w:rPr>
      </w:pPr>
      <w:r w:rsidRPr="00A707F3">
        <w:rPr>
          <w:rFonts w:ascii="Century Gothic" w:hAnsi="Century Gothic"/>
          <w:sz w:val="22"/>
          <w:szCs w:val="22"/>
        </w:rPr>
        <w:t xml:space="preserve">Furthermore, the evidence within the MDBA’s Basin Plan Evaluation and the Initial Sustainable Diversion Limit assessments, highlight the drivers of environmental outcomes in the Basin are less about rebalancing and more about, non-flow measures.  </w:t>
      </w:r>
    </w:p>
    <w:p w14:paraId="13A55B7F" w14:textId="489ED8ED" w:rsidR="007236AC" w:rsidRDefault="00C86539" w:rsidP="00C94A30">
      <w:pPr>
        <w:spacing w:after="160" w:line="276" w:lineRule="auto"/>
        <w:rPr>
          <w:rFonts w:ascii="Century Gothic" w:hAnsi="Century Gothic"/>
          <w:sz w:val="22"/>
          <w:szCs w:val="22"/>
        </w:rPr>
      </w:pPr>
      <w:r w:rsidRPr="00A707F3">
        <w:rPr>
          <w:rFonts w:ascii="Century Gothic" w:hAnsi="Century Gothic"/>
          <w:sz w:val="22"/>
          <w:szCs w:val="22"/>
        </w:rPr>
        <w:t xml:space="preserve">This evidence should </w:t>
      </w:r>
      <w:r w:rsidR="00A81DB3" w:rsidRPr="00A707F3">
        <w:rPr>
          <w:rFonts w:ascii="Century Gothic" w:hAnsi="Century Gothic"/>
          <w:sz w:val="22"/>
          <w:szCs w:val="22"/>
        </w:rPr>
        <w:t xml:space="preserve">be considered in the </w:t>
      </w:r>
      <w:r w:rsidRPr="00A707F3">
        <w:rPr>
          <w:rFonts w:ascii="Century Gothic" w:hAnsi="Century Gothic"/>
          <w:sz w:val="22"/>
          <w:szCs w:val="22"/>
        </w:rPr>
        <w:t>PC’s final assessment</w:t>
      </w:r>
      <w:r w:rsidR="00AA669F">
        <w:rPr>
          <w:rFonts w:ascii="Century Gothic" w:hAnsi="Century Gothic"/>
          <w:sz w:val="22"/>
          <w:szCs w:val="22"/>
        </w:rPr>
        <w:t xml:space="preserve"> </w:t>
      </w:r>
      <w:r w:rsidR="00C52862">
        <w:rPr>
          <w:rFonts w:ascii="Century Gothic" w:hAnsi="Century Gothic"/>
          <w:sz w:val="22"/>
          <w:szCs w:val="22"/>
        </w:rPr>
        <w:t>including the</w:t>
      </w:r>
      <w:r w:rsidRPr="00A707F3">
        <w:rPr>
          <w:rFonts w:ascii="Century Gothic" w:hAnsi="Century Gothic"/>
          <w:sz w:val="22"/>
          <w:szCs w:val="22"/>
        </w:rPr>
        <w:t xml:space="preserve"> </w:t>
      </w:r>
      <w:r w:rsidR="007236AC">
        <w:rPr>
          <w:rFonts w:ascii="Century Gothic" w:hAnsi="Century Gothic"/>
          <w:sz w:val="22"/>
          <w:szCs w:val="22"/>
        </w:rPr>
        <w:t xml:space="preserve">systems in place </w:t>
      </w:r>
      <w:r w:rsidR="00C52862">
        <w:rPr>
          <w:rFonts w:ascii="Century Gothic" w:hAnsi="Century Gothic"/>
          <w:sz w:val="22"/>
          <w:szCs w:val="22"/>
        </w:rPr>
        <w:t xml:space="preserve">nationally to achieve sustainable levels of extraction </w:t>
      </w:r>
      <w:r w:rsidR="007236AC">
        <w:rPr>
          <w:rFonts w:ascii="Century Gothic" w:hAnsi="Century Gothic"/>
          <w:sz w:val="22"/>
          <w:szCs w:val="22"/>
        </w:rPr>
        <w:t xml:space="preserve">must be recognised and </w:t>
      </w:r>
      <w:r w:rsidRPr="00A707F3">
        <w:rPr>
          <w:rFonts w:ascii="Century Gothic" w:hAnsi="Century Gothic"/>
          <w:sz w:val="22"/>
          <w:szCs w:val="22"/>
        </w:rPr>
        <w:t>further water recovery or rebalancing is not the answer to the outstanding elements</w:t>
      </w:r>
      <w:r w:rsidR="00AA271D" w:rsidRPr="00A707F3">
        <w:rPr>
          <w:rFonts w:ascii="Century Gothic" w:hAnsi="Century Gothic"/>
          <w:sz w:val="22"/>
          <w:szCs w:val="22"/>
        </w:rPr>
        <w:t xml:space="preserve"> within the Murray Darling Basin for the N</w:t>
      </w:r>
      <w:r w:rsidRPr="00A707F3">
        <w:rPr>
          <w:rFonts w:ascii="Century Gothic" w:hAnsi="Century Gothic"/>
          <w:sz w:val="22"/>
          <w:szCs w:val="22"/>
        </w:rPr>
        <w:t xml:space="preserve">WI’s </w:t>
      </w:r>
      <w:r w:rsidR="00C94A30" w:rsidRPr="00A707F3">
        <w:rPr>
          <w:rFonts w:ascii="Century Gothic" w:hAnsi="Century Gothic"/>
          <w:sz w:val="22"/>
          <w:szCs w:val="22"/>
        </w:rPr>
        <w:t>rebalancing / sustainability</w:t>
      </w:r>
      <w:r w:rsidRPr="00A707F3">
        <w:rPr>
          <w:rFonts w:ascii="Century Gothic" w:hAnsi="Century Gothic"/>
          <w:sz w:val="22"/>
          <w:szCs w:val="22"/>
        </w:rPr>
        <w:t xml:space="preserve"> agenda. </w:t>
      </w:r>
    </w:p>
    <w:p w14:paraId="0576FD0F" w14:textId="4F9B8A84" w:rsidR="00AA271D" w:rsidRPr="00A707F3" w:rsidRDefault="007320E0" w:rsidP="00C94A30">
      <w:pPr>
        <w:spacing w:after="160" w:line="276" w:lineRule="auto"/>
        <w:rPr>
          <w:rFonts w:ascii="Century Gothic" w:hAnsi="Century Gothic"/>
          <w:sz w:val="22"/>
          <w:szCs w:val="22"/>
        </w:rPr>
      </w:pPr>
      <w:r>
        <w:rPr>
          <w:rFonts w:ascii="Century Gothic" w:hAnsi="Century Gothic"/>
          <w:sz w:val="22"/>
          <w:szCs w:val="22"/>
        </w:rPr>
        <w:t xml:space="preserve">The NIC noted </w:t>
      </w:r>
      <w:r w:rsidR="00A968E3">
        <w:rPr>
          <w:rFonts w:ascii="Century Gothic" w:hAnsi="Century Gothic"/>
          <w:sz w:val="22"/>
          <w:szCs w:val="22"/>
        </w:rPr>
        <w:t xml:space="preserve">in submissions to the PC Inquiry that </w:t>
      </w:r>
      <w:r w:rsidR="00AA271D" w:rsidRPr="00A707F3">
        <w:rPr>
          <w:rFonts w:ascii="Century Gothic" w:hAnsi="Century Gothic"/>
          <w:sz w:val="22"/>
          <w:szCs w:val="22"/>
        </w:rPr>
        <w:t>the EPBC listing in the Macquarie Marshes and the Murray River downstream of the junction, is a sign of the need for further water recovery,</w:t>
      </w:r>
      <w:r w:rsidR="007236AC">
        <w:rPr>
          <w:rFonts w:ascii="Century Gothic" w:hAnsi="Century Gothic"/>
          <w:sz w:val="22"/>
          <w:szCs w:val="22"/>
        </w:rPr>
        <w:t xml:space="preserve"> however these claims</w:t>
      </w:r>
      <w:r w:rsidR="00AA271D" w:rsidRPr="00A707F3">
        <w:rPr>
          <w:rFonts w:ascii="Century Gothic" w:hAnsi="Century Gothic"/>
          <w:sz w:val="22"/>
          <w:szCs w:val="22"/>
        </w:rPr>
        <w:t xml:space="preserve"> ignore the scientific recommendations within the listing regarding non-flow factors affecting the</w:t>
      </w:r>
      <w:r w:rsidR="00C86539" w:rsidRPr="00A707F3">
        <w:rPr>
          <w:rFonts w:ascii="Century Gothic" w:hAnsi="Century Gothic"/>
          <w:sz w:val="22"/>
          <w:szCs w:val="22"/>
        </w:rPr>
        <w:t xml:space="preserve"> wetland’s condition – including invasive species, altered flow timing and connectivity, and catchment-scale land-use change – which the listing identifies as requiring management responses beyond further water recovery from the consumptive pool. NIC recommends the PC treat this listing as </w:t>
      </w:r>
      <w:r w:rsidR="00C86539" w:rsidRPr="00A707F3">
        <w:rPr>
          <w:rFonts w:ascii="Century Gothic" w:hAnsi="Century Gothic"/>
          <w:sz w:val="22"/>
          <w:szCs w:val="22"/>
        </w:rPr>
        <w:lastRenderedPageBreak/>
        <w:t>reinforcing, rather than undermining, the case for redirecting effort toward non-flow measures, and test any claim that ecological decline signals a need for further recovery against the specific threat factors identified in the relevant listing advice.</w:t>
      </w:r>
    </w:p>
    <w:p w14:paraId="161ED91A" w14:textId="56A4A5BC" w:rsidR="00C94A30" w:rsidRPr="00A707F3" w:rsidRDefault="00C86539" w:rsidP="00C94A30">
      <w:pPr>
        <w:spacing w:after="160" w:line="276" w:lineRule="auto"/>
        <w:rPr>
          <w:rFonts w:ascii="Century Gothic" w:hAnsi="Century Gothic"/>
          <w:sz w:val="22"/>
          <w:szCs w:val="22"/>
        </w:rPr>
      </w:pPr>
      <w:r w:rsidRPr="00A707F3">
        <w:rPr>
          <w:rFonts w:ascii="Century Gothic" w:hAnsi="Century Gothic"/>
          <w:sz w:val="22"/>
          <w:szCs w:val="22"/>
        </w:rPr>
        <w:t>The final report should recognise this progress and encourage jurisdictions to redirect focus and resources to non-flow, complementary measures – such as addressing invasive species, barriers to fish passage, and habitat degradation – which the evidence suggests are now the more significant constraints on environmental outcomes.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96"/>
      </w:tblGrid>
      <w:tr w:rsidR="00C94A30" w:rsidRPr="00A707F3" w14:paraId="3462FB2E" w14:textId="77777777" w:rsidTr="00A42B9F">
        <w:tc>
          <w:tcPr>
            <w:tcW w:w="9350" w:type="dxa"/>
            <w:shd w:val="clear" w:color="auto" w:fill="EAF1F8"/>
            <w:tcMar>
              <w:top w:w="120" w:type="dxa"/>
              <w:left w:w="160" w:type="dxa"/>
              <w:bottom w:w="120" w:type="dxa"/>
              <w:right w:w="160" w:type="dxa"/>
            </w:tcMar>
          </w:tcPr>
          <w:p w14:paraId="387B811A" w14:textId="77777777" w:rsidR="00C94A30" w:rsidRPr="00A707F3" w:rsidRDefault="00C94A30" w:rsidP="00A42B9F">
            <w:pPr>
              <w:spacing w:after="60"/>
              <w:rPr>
                <w:rFonts w:ascii="Century Gothic" w:hAnsi="Century Gothic"/>
              </w:rPr>
            </w:pPr>
            <w:r w:rsidRPr="00A707F3">
              <w:rPr>
                <w:rFonts w:ascii="Century Gothic" w:hAnsi="Century Gothic"/>
                <w:b/>
                <w:bCs/>
                <w:color w:val="1F3864"/>
                <w:sz w:val="22"/>
                <w:szCs w:val="22"/>
              </w:rPr>
              <w:t>NIC recommends</w:t>
            </w:r>
          </w:p>
          <w:p w14:paraId="7514A74C" w14:textId="4E95F872" w:rsidR="00C94A30" w:rsidRPr="00A707F3" w:rsidRDefault="00C94A30" w:rsidP="00A42B9F">
            <w:pPr>
              <w:spacing w:line="276" w:lineRule="auto"/>
              <w:rPr>
                <w:rFonts w:ascii="Century Gothic" w:hAnsi="Century Gothic"/>
              </w:rPr>
            </w:pPr>
            <w:r w:rsidRPr="00A707F3">
              <w:rPr>
                <w:rFonts w:ascii="Century Gothic" w:hAnsi="Century Gothic"/>
                <w:sz w:val="22"/>
                <w:szCs w:val="22"/>
              </w:rPr>
              <w:t xml:space="preserve">The PC’s final report formally recognise </w:t>
            </w:r>
            <w:r w:rsidR="000C6D42">
              <w:rPr>
                <w:rFonts w:ascii="Century Gothic" w:hAnsi="Century Gothic"/>
                <w:sz w:val="22"/>
                <w:szCs w:val="22"/>
              </w:rPr>
              <w:t xml:space="preserve">the national systems in place to establish sustainable water extraction, and in the Murray Darling Basin </w:t>
            </w:r>
            <w:r w:rsidRPr="00A707F3">
              <w:rPr>
                <w:rFonts w:ascii="Century Gothic" w:hAnsi="Century Gothic"/>
                <w:sz w:val="22"/>
                <w:szCs w:val="22"/>
              </w:rPr>
              <w:t xml:space="preserve">that sustainable diversion limits and environmentally sustainable levels of take have been substantially </w:t>
            </w:r>
            <w:r w:rsidR="00D74484" w:rsidRPr="00A707F3">
              <w:rPr>
                <w:rFonts w:ascii="Century Gothic" w:hAnsi="Century Gothic"/>
                <w:sz w:val="22"/>
                <w:szCs w:val="22"/>
              </w:rPr>
              <w:t>achieved and</w:t>
            </w:r>
            <w:r w:rsidRPr="00A707F3">
              <w:rPr>
                <w:rFonts w:ascii="Century Gothic" w:hAnsi="Century Gothic"/>
                <w:sz w:val="22"/>
                <w:szCs w:val="22"/>
              </w:rPr>
              <w:t xml:space="preserve"> redirect the NWI’s remaining </w:t>
            </w:r>
            <w:r w:rsidR="000C6D42">
              <w:rPr>
                <w:rFonts w:ascii="Century Gothic" w:hAnsi="Century Gothic"/>
                <w:sz w:val="22"/>
                <w:szCs w:val="22"/>
              </w:rPr>
              <w:t>sustainability</w:t>
            </w:r>
            <w:r w:rsidR="00AA669F">
              <w:rPr>
                <w:rFonts w:ascii="Century Gothic" w:hAnsi="Century Gothic"/>
                <w:sz w:val="22"/>
                <w:szCs w:val="22"/>
              </w:rPr>
              <w:t xml:space="preserve"> principles </w:t>
            </w:r>
            <w:r w:rsidRPr="00A707F3">
              <w:rPr>
                <w:rFonts w:ascii="Century Gothic" w:hAnsi="Century Gothic"/>
                <w:sz w:val="22"/>
                <w:szCs w:val="22"/>
              </w:rPr>
              <w:t>toward integrated catchment management and complementary, non-flow measures rather than further water recovery.</w:t>
            </w:r>
          </w:p>
        </w:tc>
      </w:tr>
    </w:tbl>
    <w:p w14:paraId="6D0FE707" w14:textId="77777777" w:rsidR="00C94A30" w:rsidRPr="00A707F3" w:rsidRDefault="00C94A30">
      <w:pPr>
        <w:spacing w:after="160" w:line="276" w:lineRule="auto"/>
        <w:rPr>
          <w:rFonts w:ascii="Century Gothic" w:hAnsi="Century Gothic"/>
          <w:sz w:val="22"/>
          <w:szCs w:val="22"/>
        </w:rPr>
      </w:pPr>
    </w:p>
    <w:p w14:paraId="3C3D093C" w14:textId="334E1EFA" w:rsidR="00C94A30" w:rsidRPr="00A707F3" w:rsidRDefault="00C94A30" w:rsidP="00C94A30">
      <w:pPr>
        <w:pStyle w:val="Heading2"/>
        <w:rPr>
          <w:rFonts w:ascii="Century Gothic" w:hAnsi="Century Gothic"/>
        </w:rPr>
      </w:pPr>
      <w:r w:rsidRPr="00A707F3">
        <w:rPr>
          <w:rFonts w:ascii="Century Gothic" w:hAnsi="Century Gothic"/>
        </w:rPr>
        <w:t xml:space="preserve">Climate change </w:t>
      </w:r>
      <w:r w:rsidR="00AA271D" w:rsidRPr="00A707F3">
        <w:rPr>
          <w:rFonts w:ascii="Century Gothic" w:hAnsi="Century Gothic"/>
        </w:rPr>
        <w:t>and water policy nexus</w:t>
      </w:r>
      <w:r w:rsidRPr="00A707F3">
        <w:rPr>
          <w:rFonts w:ascii="Century Gothic" w:hAnsi="Century Gothic"/>
        </w:rPr>
        <w:t>:</w:t>
      </w:r>
    </w:p>
    <w:p w14:paraId="6C08D626" w14:textId="7A9632A2" w:rsidR="00C94A30" w:rsidRPr="00A707F3" w:rsidRDefault="00AA271D" w:rsidP="00C94A30">
      <w:pPr>
        <w:spacing w:after="160" w:line="276" w:lineRule="auto"/>
        <w:rPr>
          <w:rFonts w:ascii="Century Gothic" w:hAnsi="Century Gothic"/>
        </w:rPr>
      </w:pPr>
      <w:r w:rsidRPr="00A707F3">
        <w:rPr>
          <w:rFonts w:ascii="Century Gothic" w:hAnsi="Century Gothic"/>
          <w:sz w:val="22"/>
          <w:szCs w:val="22"/>
        </w:rPr>
        <w:t xml:space="preserve">The Murray Darling Basin Plan review and submission into this inquiry have had an under-lying theme </w:t>
      </w:r>
      <w:r w:rsidR="002E5EF7">
        <w:rPr>
          <w:rFonts w:ascii="Century Gothic" w:hAnsi="Century Gothic"/>
          <w:sz w:val="22"/>
          <w:szCs w:val="22"/>
        </w:rPr>
        <w:t xml:space="preserve">regarding Australia’s preparedness for climate change. </w:t>
      </w:r>
      <w:r w:rsidR="00390C6B">
        <w:rPr>
          <w:rFonts w:ascii="Century Gothic" w:hAnsi="Century Gothic"/>
          <w:sz w:val="22"/>
          <w:szCs w:val="22"/>
        </w:rPr>
        <w:t xml:space="preserve">One of the strengths of Australia’s water management system, is the foundations </w:t>
      </w:r>
      <w:r w:rsidR="00AA669F">
        <w:rPr>
          <w:rFonts w:ascii="Century Gothic" w:hAnsi="Century Gothic"/>
          <w:sz w:val="22"/>
          <w:szCs w:val="22"/>
        </w:rPr>
        <w:t xml:space="preserve">planning systems that consider climate and </w:t>
      </w:r>
      <w:r w:rsidR="00390C6B">
        <w:rPr>
          <w:rFonts w:ascii="Century Gothic" w:hAnsi="Century Gothic"/>
          <w:sz w:val="22"/>
          <w:szCs w:val="22"/>
        </w:rPr>
        <w:t>entitlements and allocations, and the water market that allow for adaption to climate variation</w:t>
      </w:r>
      <w:r w:rsidR="0056631E">
        <w:rPr>
          <w:rFonts w:ascii="Century Gothic" w:hAnsi="Century Gothic"/>
          <w:sz w:val="22"/>
          <w:szCs w:val="22"/>
        </w:rPr>
        <w:t xml:space="preserve"> and risk management tools for water users,</w:t>
      </w:r>
      <w:r w:rsidR="00E965D0">
        <w:rPr>
          <w:rFonts w:ascii="Century Gothic" w:hAnsi="Century Gothic"/>
          <w:sz w:val="22"/>
          <w:szCs w:val="22"/>
        </w:rPr>
        <w:t xml:space="preserve"> which are often mis-understood.</w:t>
      </w:r>
    </w:p>
    <w:p w14:paraId="2A0C72B5" w14:textId="1BC61E28" w:rsidR="00C94A30" w:rsidRPr="00A707F3" w:rsidRDefault="00C94A30" w:rsidP="00C94A30">
      <w:pPr>
        <w:spacing w:after="160" w:line="276" w:lineRule="auto"/>
        <w:rPr>
          <w:rFonts w:ascii="Century Gothic" w:hAnsi="Century Gothic"/>
        </w:rPr>
      </w:pPr>
      <w:r w:rsidRPr="00A707F3">
        <w:rPr>
          <w:rFonts w:ascii="Century Gothic" w:hAnsi="Century Gothic"/>
          <w:b/>
          <w:bCs/>
          <w:sz w:val="22"/>
          <w:szCs w:val="22"/>
        </w:rPr>
        <w:t xml:space="preserve">Water allocations are already a self-adjusting climate response mechanism: </w:t>
      </w:r>
      <w:r w:rsidRPr="00A707F3">
        <w:rPr>
          <w:rFonts w:ascii="Century Gothic" w:hAnsi="Century Gothic"/>
          <w:sz w:val="22"/>
          <w:szCs w:val="22"/>
        </w:rPr>
        <w:t xml:space="preserve">the volume of water allocated against a water access entitlement varies each year based on actual water availability. As the MDBA itself has observed, ‘the allocations system is therefore naturally adaptive to climate </w:t>
      </w:r>
      <w:r w:rsidR="00D74484" w:rsidRPr="00A707F3">
        <w:rPr>
          <w:rFonts w:ascii="Century Gothic" w:hAnsi="Century Gothic"/>
          <w:sz w:val="22"/>
          <w:szCs w:val="22"/>
        </w:rPr>
        <w:t>variations and</w:t>
      </w:r>
      <w:r w:rsidRPr="00A707F3">
        <w:rPr>
          <w:rFonts w:ascii="Century Gothic" w:hAnsi="Century Gothic"/>
          <w:sz w:val="22"/>
          <w:szCs w:val="22"/>
        </w:rPr>
        <w:t xml:space="preserve"> adjusts year-to-year.’ Under scarcity, this system already prioritises critical human water needs and the environment ahead of lower-priority consumptive users such as general</w:t>
      </w:r>
      <w:r w:rsidR="00027D71">
        <w:rPr>
          <w:rFonts w:ascii="Century Gothic" w:hAnsi="Century Gothic"/>
          <w:sz w:val="22"/>
          <w:szCs w:val="22"/>
        </w:rPr>
        <w:t xml:space="preserve"> </w:t>
      </w:r>
      <w:r w:rsidRPr="00A707F3">
        <w:rPr>
          <w:rFonts w:ascii="Century Gothic" w:hAnsi="Century Gothic"/>
          <w:sz w:val="22"/>
          <w:szCs w:val="22"/>
        </w:rPr>
        <w:t xml:space="preserve">security entitlement holders, consistent with statutory priority hierarchies in state water management legislation. This is not a gap in the framework to be addressed through new </w:t>
      </w:r>
      <w:r w:rsidR="00D74484" w:rsidRPr="00A707F3">
        <w:rPr>
          <w:rFonts w:ascii="Century Gothic" w:hAnsi="Century Gothic"/>
          <w:sz w:val="22"/>
          <w:szCs w:val="22"/>
        </w:rPr>
        <w:t>principles</w:t>
      </w:r>
      <w:r w:rsidR="00D74484">
        <w:rPr>
          <w:rFonts w:ascii="Century Gothic" w:hAnsi="Century Gothic"/>
          <w:sz w:val="22"/>
          <w:szCs w:val="22"/>
        </w:rPr>
        <w:t>;</w:t>
      </w:r>
      <w:r w:rsidRPr="00A707F3">
        <w:rPr>
          <w:rFonts w:ascii="Century Gothic" w:hAnsi="Century Gothic"/>
          <w:sz w:val="22"/>
          <w:szCs w:val="22"/>
        </w:rPr>
        <w:t xml:space="preserve"> it is the framework already operating as intended.</w:t>
      </w:r>
    </w:p>
    <w:p w14:paraId="3A0D0B34" w14:textId="2DAF229D" w:rsidR="006431F9" w:rsidRDefault="006431F9" w:rsidP="00C94A30">
      <w:pPr>
        <w:spacing w:after="160" w:line="276" w:lineRule="auto"/>
        <w:rPr>
          <w:rFonts w:ascii="Century Gothic" w:hAnsi="Century Gothic"/>
          <w:sz w:val="22"/>
          <w:szCs w:val="22"/>
        </w:rPr>
      </w:pPr>
      <w:r>
        <w:rPr>
          <w:rFonts w:ascii="Century Gothic" w:hAnsi="Century Gothic"/>
          <w:b/>
          <w:bCs/>
          <w:sz w:val="22"/>
          <w:szCs w:val="22"/>
        </w:rPr>
        <w:t xml:space="preserve">Extreme events are already planned for: </w:t>
      </w:r>
      <w:r w:rsidR="001F37C0">
        <w:rPr>
          <w:rFonts w:ascii="Century Gothic" w:hAnsi="Century Gothic"/>
          <w:sz w:val="22"/>
          <w:szCs w:val="22"/>
        </w:rPr>
        <w:t xml:space="preserve">one of the risks </w:t>
      </w:r>
      <w:r w:rsidR="0079375B">
        <w:rPr>
          <w:rFonts w:ascii="Century Gothic" w:hAnsi="Century Gothic"/>
          <w:sz w:val="22"/>
          <w:szCs w:val="22"/>
        </w:rPr>
        <w:t xml:space="preserve">of climate change is the potential for great uncertainty and more frequent dry periods or droughts. Planning requirements include emergency response options for these </w:t>
      </w:r>
      <w:r w:rsidR="00210EEA">
        <w:rPr>
          <w:rFonts w:ascii="Century Gothic" w:hAnsi="Century Gothic"/>
          <w:sz w:val="22"/>
          <w:szCs w:val="22"/>
        </w:rPr>
        <w:t>extreme</w:t>
      </w:r>
      <w:r w:rsidR="0079375B">
        <w:rPr>
          <w:rFonts w:ascii="Century Gothic" w:hAnsi="Century Gothic"/>
          <w:sz w:val="22"/>
          <w:szCs w:val="22"/>
        </w:rPr>
        <w:t xml:space="preserve"> events, and particularly in the Murray Darling Basin </w:t>
      </w:r>
      <w:r w:rsidR="00D74484">
        <w:rPr>
          <w:rFonts w:ascii="Century Gothic" w:hAnsi="Century Gothic"/>
          <w:sz w:val="22"/>
          <w:szCs w:val="22"/>
        </w:rPr>
        <w:t>valley-based</w:t>
      </w:r>
      <w:r w:rsidR="00DF38B3">
        <w:rPr>
          <w:rFonts w:ascii="Century Gothic" w:hAnsi="Century Gothic"/>
          <w:sz w:val="22"/>
          <w:szCs w:val="22"/>
        </w:rPr>
        <w:t xml:space="preserve"> </w:t>
      </w:r>
      <w:r w:rsidR="0079375B">
        <w:rPr>
          <w:rFonts w:ascii="Century Gothic" w:hAnsi="Century Gothic"/>
          <w:sz w:val="22"/>
          <w:szCs w:val="22"/>
        </w:rPr>
        <w:t xml:space="preserve">incident response guidelines are also </w:t>
      </w:r>
      <w:r w:rsidR="00747EBA">
        <w:rPr>
          <w:rFonts w:ascii="Century Gothic" w:hAnsi="Century Gothic"/>
          <w:sz w:val="22"/>
          <w:szCs w:val="22"/>
        </w:rPr>
        <w:t xml:space="preserve">established and </w:t>
      </w:r>
      <w:r w:rsidR="00210EEA">
        <w:rPr>
          <w:rFonts w:ascii="Century Gothic" w:hAnsi="Century Gothic"/>
          <w:sz w:val="22"/>
          <w:szCs w:val="22"/>
        </w:rPr>
        <w:t>monitored</w:t>
      </w:r>
      <w:r w:rsidR="00747EBA">
        <w:rPr>
          <w:rFonts w:ascii="Century Gothic" w:hAnsi="Century Gothic"/>
          <w:sz w:val="22"/>
          <w:szCs w:val="22"/>
        </w:rPr>
        <w:t xml:space="preserve">.  </w:t>
      </w:r>
    </w:p>
    <w:p w14:paraId="0C77ED71" w14:textId="73809568" w:rsidR="002F5E81" w:rsidRDefault="00DF38B3" w:rsidP="00C94A30">
      <w:pPr>
        <w:spacing w:after="160" w:line="276" w:lineRule="auto"/>
        <w:rPr>
          <w:rFonts w:ascii="Century Gothic" w:hAnsi="Century Gothic"/>
          <w:sz w:val="22"/>
          <w:szCs w:val="22"/>
        </w:rPr>
      </w:pPr>
      <w:r>
        <w:rPr>
          <w:rFonts w:ascii="Century Gothic" w:hAnsi="Century Gothic"/>
          <w:sz w:val="22"/>
          <w:szCs w:val="22"/>
        </w:rPr>
        <w:t xml:space="preserve">On the </w:t>
      </w:r>
      <w:r w:rsidR="002F5E81">
        <w:rPr>
          <w:rFonts w:ascii="Century Gothic" w:hAnsi="Century Gothic"/>
          <w:sz w:val="22"/>
          <w:szCs w:val="22"/>
        </w:rPr>
        <w:t xml:space="preserve">opposite end of the climate spectrum, </w:t>
      </w:r>
      <w:r>
        <w:rPr>
          <w:rFonts w:ascii="Century Gothic" w:hAnsi="Century Gothic"/>
          <w:sz w:val="22"/>
          <w:szCs w:val="22"/>
        </w:rPr>
        <w:t xml:space="preserve">flood </w:t>
      </w:r>
      <w:r w:rsidR="002F5E81">
        <w:rPr>
          <w:rFonts w:ascii="Century Gothic" w:hAnsi="Century Gothic"/>
          <w:sz w:val="22"/>
          <w:szCs w:val="22"/>
        </w:rPr>
        <w:t xml:space="preserve">watch and flood management protocols have developed over-time and sit with multiple planning documents and operational systems, including dam safety, </w:t>
      </w:r>
      <w:r w:rsidR="006016C1">
        <w:rPr>
          <w:rFonts w:ascii="Century Gothic" w:hAnsi="Century Gothic"/>
          <w:sz w:val="22"/>
          <w:szCs w:val="22"/>
        </w:rPr>
        <w:t>community</w:t>
      </w:r>
      <w:r w:rsidR="002F5E81">
        <w:rPr>
          <w:rFonts w:ascii="Century Gothic" w:hAnsi="Century Gothic"/>
          <w:sz w:val="22"/>
          <w:szCs w:val="22"/>
        </w:rPr>
        <w:t xml:space="preserve"> </w:t>
      </w:r>
      <w:r w:rsidR="006016C1">
        <w:rPr>
          <w:rFonts w:ascii="Century Gothic" w:hAnsi="Century Gothic"/>
          <w:sz w:val="22"/>
          <w:szCs w:val="22"/>
        </w:rPr>
        <w:t>safety, communication of risk</w:t>
      </w:r>
      <w:r w:rsidR="002F5E81">
        <w:rPr>
          <w:rFonts w:ascii="Century Gothic" w:hAnsi="Century Gothic"/>
          <w:sz w:val="22"/>
          <w:szCs w:val="22"/>
        </w:rPr>
        <w:t xml:space="preserve"> and </w:t>
      </w:r>
      <w:r w:rsidR="006016C1">
        <w:rPr>
          <w:rFonts w:ascii="Century Gothic" w:hAnsi="Century Gothic"/>
          <w:sz w:val="22"/>
          <w:szCs w:val="22"/>
        </w:rPr>
        <w:t xml:space="preserve">property </w:t>
      </w:r>
      <w:r w:rsidR="002F5E81">
        <w:rPr>
          <w:rFonts w:ascii="Century Gothic" w:hAnsi="Century Gothic"/>
          <w:sz w:val="22"/>
          <w:szCs w:val="22"/>
        </w:rPr>
        <w:t xml:space="preserve">development </w:t>
      </w:r>
      <w:r w:rsidR="006016C1">
        <w:rPr>
          <w:rFonts w:ascii="Century Gothic" w:hAnsi="Century Gothic"/>
          <w:sz w:val="22"/>
          <w:szCs w:val="22"/>
        </w:rPr>
        <w:t>requirements</w:t>
      </w:r>
      <w:r w:rsidR="002F5E81">
        <w:rPr>
          <w:rFonts w:ascii="Century Gothic" w:hAnsi="Century Gothic"/>
          <w:sz w:val="22"/>
          <w:szCs w:val="22"/>
        </w:rPr>
        <w:t xml:space="preserve">. </w:t>
      </w:r>
    </w:p>
    <w:p w14:paraId="7CB59B47" w14:textId="45CCB7AC" w:rsidR="00DF38B3" w:rsidRPr="00DF38B3" w:rsidRDefault="002F5E81" w:rsidP="00C94A30">
      <w:pPr>
        <w:spacing w:after="160" w:line="276" w:lineRule="auto"/>
        <w:rPr>
          <w:rFonts w:ascii="Century Gothic" w:hAnsi="Century Gothic"/>
          <w:sz w:val="22"/>
          <w:szCs w:val="22"/>
        </w:rPr>
      </w:pPr>
      <w:r>
        <w:rPr>
          <w:rFonts w:ascii="Century Gothic" w:hAnsi="Century Gothic"/>
          <w:sz w:val="22"/>
          <w:szCs w:val="22"/>
        </w:rPr>
        <w:t>These provide mechanisms to manage the risk of drought and floods, providing a transparent and clear set of rules and steps, beyond the usual water allocation system.</w:t>
      </w:r>
    </w:p>
    <w:p w14:paraId="3A9949D1" w14:textId="3197238B" w:rsidR="00C94A30" w:rsidRPr="00A707F3" w:rsidRDefault="00C94A30" w:rsidP="00C94A30">
      <w:pPr>
        <w:spacing w:after="160" w:line="276" w:lineRule="auto"/>
        <w:rPr>
          <w:rFonts w:ascii="Century Gothic" w:hAnsi="Century Gothic"/>
        </w:rPr>
      </w:pPr>
      <w:r w:rsidRPr="00A707F3">
        <w:rPr>
          <w:rFonts w:ascii="Century Gothic" w:hAnsi="Century Gothic"/>
          <w:b/>
          <w:bCs/>
          <w:sz w:val="22"/>
          <w:szCs w:val="22"/>
        </w:rPr>
        <w:lastRenderedPageBreak/>
        <w:t xml:space="preserve">The system also has adaptive management built </w:t>
      </w:r>
      <w:r w:rsidR="00D74484" w:rsidRPr="00A707F3">
        <w:rPr>
          <w:rFonts w:ascii="Century Gothic" w:hAnsi="Century Gothic"/>
          <w:b/>
          <w:bCs/>
          <w:sz w:val="22"/>
          <w:szCs w:val="22"/>
        </w:rPr>
        <w:t>in</w:t>
      </w:r>
      <w:r w:rsidRPr="00A707F3">
        <w:rPr>
          <w:rFonts w:ascii="Century Gothic" w:hAnsi="Century Gothic"/>
          <w:b/>
          <w:bCs/>
          <w:sz w:val="22"/>
          <w:szCs w:val="22"/>
        </w:rPr>
        <w:t xml:space="preserve"> </w:t>
      </w:r>
      <w:r w:rsidRPr="00A707F3">
        <w:rPr>
          <w:rFonts w:ascii="Century Gothic" w:hAnsi="Century Gothic"/>
          <w:sz w:val="22"/>
          <w:szCs w:val="22"/>
        </w:rPr>
        <w:t>statutory 10-year reviews of the Basin Plan and Sustainable Diversion Limits, statutory reviews of the Water Act 2007, periodic renewal of Water Sharing Plans, ongoing monitoring, evaluation and reporting</w:t>
      </w:r>
      <w:r w:rsidR="006431F9">
        <w:rPr>
          <w:rFonts w:ascii="Century Gothic" w:hAnsi="Century Gothic"/>
          <w:sz w:val="22"/>
          <w:szCs w:val="22"/>
        </w:rPr>
        <w:t>.</w:t>
      </w:r>
      <w:r w:rsidRPr="00A707F3">
        <w:rPr>
          <w:rFonts w:ascii="Century Gothic" w:hAnsi="Century Gothic"/>
          <w:sz w:val="22"/>
          <w:szCs w:val="22"/>
        </w:rPr>
        <w:t xml:space="preserve"> These instruments are deliberately designed to be reviewed and adjusted within their working lifespan, rather than locked against long-range forecasts decades into the future. NIC agrees with the MDBA's own position that it is not proposing changes to Sustainable Diversion Limits to respond to a wide range of plausible 2050 climate futures through the current Basin Plan </w:t>
      </w:r>
      <w:r w:rsidR="00D74484" w:rsidRPr="00A707F3">
        <w:rPr>
          <w:rFonts w:ascii="Century Gothic" w:hAnsi="Century Gothic"/>
          <w:sz w:val="22"/>
          <w:szCs w:val="22"/>
        </w:rPr>
        <w:t>review and</w:t>
      </w:r>
      <w:r w:rsidRPr="00A707F3">
        <w:rPr>
          <w:rFonts w:ascii="Century Gothic" w:hAnsi="Century Gothic"/>
          <w:sz w:val="22"/>
          <w:szCs w:val="22"/>
        </w:rPr>
        <w:t xml:space="preserve"> considers the same approach should inform this NWI assessment.</w:t>
      </w:r>
    </w:p>
    <w:p w14:paraId="2E94ACD5" w14:textId="77777777" w:rsidR="00C94A30" w:rsidRPr="00A707F3" w:rsidRDefault="00C94A30" w:rsidP="00C94A30">
      <w:pPr>
        <w:spacing w:after="160" w:line="276" w:lineRule="auto"/>
        <w:rPr>
          <w:rFonts w:ascii="Century Gothic" w:hAnsi="Century Gothic"/>
          <w:sz w:val="22"/>
          <w:szCs w:val="22"/>
        </w:rPr>
      </w:pPr>
      <w:r w:rsidRPr="00A707F3">
        <w:rPr>
          <w:rFonts w:ascii="Century Gothic" w:hAnsi="Century Gothic"/>
          <w:b/>
          <w:bCs/>
          <w:sz w:val="22"/>
          <w:szCs w:val="22"/>
        </w:rPr>
        <w:t xml:space="preserve">Water recovery is a poor tool for drought resilience: </w:t>
      </w:r>
      <w:r w:rsidRPr="00A707F3">
        <w:rPr>
          <w:rFonts w:ascii="Century Gothic" w:hAnsi="Century Gothic"/>
          <w:sz w:val="22"/>
          <w:szCs w:val="22"/>
        </w:rPr>
        <w:t>purchasing consumptive entitlements for climate adaptation purposes is unlikely to be effective, because an entitlement generates little or no allocation in precisely the dry periods it would be intended to serve – in effect, purchasing an empty asset. NIC agrees with the MDBA's own assessment that under a range of future climate scenarios it will not be possible to manage or protect all assets in ways that achieve current Basin Plan outcomes, making prioritisation and targeted, evidence-based actions essential. Building genuine drought resilience requires targeted infrastructure and demand-management investment, not further reductions in the consumptive pool.</w:t>
      </w:r>
    </w:p>
    <w:p w14:paraId="2D197CA3" w14:textId="56916B88" w:rsidR="00AA271D" w:rsidRPr="00A707F3" w:rsidRDefault="00AA271D" w:rsidP="00C94A30">
      <w:pPr>
        <w:spacing w:after="160" w:line="276" w:lineRule="auto"/>
        <w:rPr>
          <w:rFonts w:ascii="Century Gothic" w:hAnsi="Century Gothic"/>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96"/>
      </w:tblGrid>
      <w:tr w:rsidR="00C94A30" w:rsidRPr="00A707F3" w14:paraId="4266E0E8" w14:textId="77777777" w:rsidTr="00A42B9F">
        <w:tc>
          <w:tcPr>
            <w:tcW w:w="9350" w:type="dxa"/>
            <w:shd w:val="clear" w:color="auto" w:fill="EAF1F8"/>
            <w:tcMar>
              <w:top w:w="120" w:type="dxa"/>
              <w:left w:w="160" w:type="dxa"/>
              <w:bottom w:w="120" w:type="dxa"/>
              <w:right w:w="160" w:type="dxa"/>
            </w:tcMar>
          </w:tcPr>
          <w:p w14:paraId="18B727D2" w14:textId="77777777" w:rsidR="00C94A30" w:rsidRPr="00A707F3" w:rsidRDefault="00C94A30" w:rsidP="00A42B9F">
            <w:pPr>
              <w:spacing w:after="60"/>
              <w:rPr>
                <w:rFonts w:ascii="Century Gothic" w:hAnsi="Century Gothic"/>
              </w:rPr>
            </w:pPr>
            <w:r w:rsidRPr="00A707F3">
              <w:rPr>
                <w:rFonts w:ascii="Century Gothic" w:hAnsi="Century Gothic"/>
                <w:b/>
                <w:bCs/>
                <w:color w:val="1F3864"/>
                <w:sz w:val="22"/>
                <w:szCs w:val="22"/>
              </w:rPr>
              <w:t>NIC recommends</w:t>
            </w:r>
          </w:p>
          <w:p w14:paraId="1B48E9C5" w14:textId="664C1242" w:rsidR="00C94A30" w:rsidRDefault="00C94A30" w:rsidP="00A42B9F">
            <w:pPr>
              <w:spacing w:line="276" w:lineRule="auto"/>
              <w:rPr>
                <w:rFonts w:ascii="Century Gothic" w:hAnsi="Century Gothic"/>
                <w:sz w:val="22"/>
                <w:szCs w:val="22"/>
              </w:rPr>
            </w:pPr>
            <w:r w:rsidRPr="00A707F3">
              <w:rPr>
                <w:rFonts w:ascii="Century Gothic" w:hAnsi="Century Gothic"/>
                <w:sz w:val="22"/>
                <w:szCs w:val="22"/>
              </w:rPr>
              <w:t xml:space="preserve">The PC's final report </w:t>
            </w:r>
            <w:r w:rsidR="00994417">
              <w:rPr>
                <w:rFonts w:ascii="Century Gothic" w:hAnsi="Century Gothic"/>
                <w:sz w:val="22"/>
                <w:szCs w:val="22"/>
              </w:rPr>
              <w:t xml:space="preserve">must recognise the existing adaptions and responses to climate change within </w:t>
            </w:r>
            <w:r w:rsidR="004F13A4">
              <w:rPr>
                <w:rFonts w:ascii="Century Gothic" w:hAnsi="Century Gothic"/>
                <w:sz w:val="22"/>
                <w:szCs w:val="22"/>
              </w:rPr>
              <w:t xml:space="preserve">state-based </w:t>
            </w:r>
            <w:r w:rsidR="00994417">
              <w:rPr>
                <w:rFonts w:ascii="Century Gothic" w:hAnsi="Century Gothic"/>
                <w:sz w:val="22"/>
                <w:szCs w:val="22"/>
              </w:rPr>
              <w:t>policy settings</w:t>
            </w:r>
            <w:r w:rsidR="00BA63EB">
              <w:rPr>
                <w:rFonts w:ascii="Century Gothic" w:hAnsi="Century Gothic"/>
                <w:sz w:val="22"/>
                <w:szCs w:val="22"/>
              </w:rPr>
              <w:t xml:space="preserve"> and that with current uncertainty, more information is needed to ensure a proper evidence base for further adaption is considered. </w:t>
            </w:r>
          </w:p>
          <w:p w14:paraId="457F5EDB" w14:textId="64113839" w:rsidR="001712F2" w:rsidRPr="00A707F3" w:rsidRDefault="001712F2" w:rsidP="00A42B9F">
            <w:pPr>
              <w:spacing w:line="276" w:lineRule="auto"/>
              <w:rPr>
                <w:rFonts w:ascii="Century Gothic" w:hAnsi="Century Gothic"/>
              </w:rPr>
            </w:pPr>
            <w:r>
              <w:rPr>
                <w:rFonts w:ascii="Century Gothic" w:hAnsi="Century Gothic"/>
              </w:rPr>
              <w:t>I</w:t>
            </w:r>
            <w:r w:rsidRPr="004F13A4">
              <w:rPr>
                <w:rFonts w:ascii="Century Gothic" w:hAnsi="Century Gothic"/>
                <w:sz w:val="22"/>
                <w:szCs w:val="22"/>
              </w:rPr>
              <w:t xml:space="preserve">t is recommended that </w:t>
            </w:r>
            <w:r w:rsidRPr="00A707F3">
              <w:rPr>
                <w:rFonts w:ascii="Century Gothic" w:hAnsi="Century Gothic"/>
                <w:sz w:val="22"/>
                <w:szCs w:val="22"/>
              </w:rPr>
              <w:t xml:space="preserve">a Commonwealth-led audit of critical water infrastructure (particularly </w:t>
            </w:r>
            <w:r>
              <w:rPr>
                <w:rFonts w:ascii="Century Gothic" w:hAnsi="Century Gothic"/>
                <w:sz w:val="22"/>
                <w:szCs w:val="22"/>
              </w:rPr>
              <w:t xml:space="preserve">for </w:t>
            </w:r>
            <w:r w:rsidRPr="00A707F3">
              <w:rPr>
                <w:rFonts w:ascii="Century Gothic" w:hAnsi="Century Gothic"/>
                <w:sz w:val="22"/>
                <w:szCs w:val="22"/>
              </w:rPr>
              <w:t>town water supply)</w:t>
            </w:r>
            <w:r>
              <w:rPr>
                <w:rFonts w:ascii="Century Gothic" w:hAnsi="Century Gothic"/>
                <w:sz w:val="22"/>
                <w:szCs w:val="22"/>
              </w:rPr>
              <w:t xml:space="preserve"> is undertaken</w:t>
            </w:r>
            <w:r w:rsidRPr="00A707F3">
              <w:rPr>
                <w:rFonts w:ascii="Century Gothic" w:hAnsi="Century Gothic"/>
                <w:sz w:val="22"/>
                <w:szCs w:val="22"/>
              </w:rPr>
              <w:t xml:space="preserve"> to assess and invest in climate-readiness</w:t>
            </w:r>
            <w:r w:rsidR="004F13A4">
              <w:rPr>
                <w:rFonts w:ascii="Century Gothic" w:hAnsi="Century Gothic"/>
                <w:sz w:val="22"/>
                <w:szCs w:val="22"/>
              </w:rPr>
              <w:t xml:space="preserve"> – the </w:t>
            </w:r>
            <w:proofErr w:type="spellStart"/>
            <w:r w:rsidR="004F13A4">
              <w:rPr>
                <w:rFonts w:ascii="Century Gothic" w:hAnsi="Century Gothic"/>
                <w:sz w:val="22"/>
                <w:szCs w:val="22"/>
              </w:rPr>
              <w:t>catputre</w:t>
            </w:r>
            <w:proofErr w:type="spellEnd"/>
            <w:r w:rsidR="004F13A4">
              <w:rPr>
                <w:rFonts w:ascii="Century Gothic" w:hAnsi="Century Gothic"/>
                <w:sz w:val="22"/>
                <w:szCs w:val="22"/>
              </w:rPr>
              <w:t xml:space="preserve"> and store and deliver water as efficiently as possible to a range of users</w:t>
            </w:r>
            <w:r w:rsidR="00FE6519">
              <w:rPr>
                <w:rFonts w:ascii="Century Gothic" w:hAnsi="Century Gothic"/>
                <w:sz w:val="22"/>
                <w:szCs w:val="22"/>
              </w:rPr>
              <w:t>, when further information is obtained about the plausible risk to this infrastructure</w:t>
            </w:r>
            <w:r w:rsidRPr="00A707F3">
              <w:rPr>
                <w:rFonts w:ascii="Century Gothic" w:hAnsi="Century Gothic"/>
                <w:sz w:val="22"/>
                <w:szCs w:val="22"/>
              </w:rPr>
              <w:t>.</w:t>
            </w:r>
          </w:p>
        </w:tc>
      </w:tr>
    </w:tbl>
    <w:p w14:paraId="43670130" w14:textId="77777777" w:rsidR="00C94A30" w:rsidRPr="00A707F3" w:rsidRDefault="00C94A30" w:rsidP="00C94A30">
      <w:pPr>
        <w:pStyle w:val="Heading2"/>
        <w:rPr>
          <w:rFonts w:ascii="Century Gothic" w:hAnsi="Century Gothic"/>
        </w:rPr>
      </w:pPr>
    </w:p>
    <w:p w14:paraId="7982DC4A" w14:textId="0C982242" w:rsidR="00C94A30" w:rsidRPr="00A707F3" w:rsidRDefault="00C94A30" w:rsidP="00C94A30">
      <w:pPr>
        <w:pStyle w:val="Heading2"/>
        <w:rPr>
          <w:rFonts w:ascii="Century Gothic" w:hAnsi="Century Gothic"/>
        </w:rPr>
      </w:pPr>
      <w:r w:rsidRPr="00A707F3">
        <w:rPr>
          <w:rFonts w:ascii="Century Gothic" w:hAnsi="Century Gothic"/>
        </w:rPr>
        <w:t>Evidence base:</w:t>
      </w:r>
    </w:p>
    <w:p w14:paraId="142A90E8" w14:textId="18DE7612" w:rsidR="00A7045B" w:rsidRPr="00A707F3" w:rsidRDefault="00C86539">
      <w:pPr>
        <w:spacing w:after="160" w:line="276" w:lineRule="auto"/>
        <w:rPr>
          <w:rFonts w:ascii="Century Gothic" w:hAnsi="Century Gothic"/>
        </w:rPr>
      </w:pPr>
      <w:r w:rsidRPr="00A707F3">
        <w:rPr>
          <w:rFonts w:ascii="Century Gothic" w:hAnsi="Century Gothic"/>
          <w:sz w:val="22"/>
          <w:szCs w:val="22"/>
        </w:rPr>
        <w:t xml:space="preserve">NIC is concerned by the interim update’s repeated finding of “no update on progress since 2024” across </w:t>
      </w:r>
      <w:r w:rsidR="00D74484" w:rsidRPr="00A707F3">
        <w:rPr>
          <w:rFonts w:ascii="Century Gothic" w:hAnsi="Century Gothic"/>
          <w:sz w:val="22"/>
          <w:szCs w:val="22"/>
        </w:rPr>
        <w:t>several</w:t>
      </w:r>
      <w:r w:rsidRPr="00A707F3">
        <w:rPr>
          <w:rFonts w:ascii="Century Gothic" w:hAnsi="Century Gothic"/>
          <w:sz w:val="22"/>
          <w:szCs w:val="22"/>
        </w:rPr>
        <w:t xml:space="preserve"> important sub-elements, including triggers for rebalancing, adaptive management of water plans, and cost recovery for planning and management. We ask the PC to consider, in its final report, whether this pattern reflects a genuine absence of activity by jurisdictions, </w:t>
      </w:r>
      <w:r w:rsidR="00C94A30" w:rsidRPr="00A707F3">
        <w:rPr>
          <w:rFonts w:ascii="Century Gothic" w:hAnsi="Century Gothic"/>
          <w:sz w:val="22"/>
          <w:szCs w:val="22"/>
        </w:rPr>
        <w:t xml:space="preserve">no ‘new’ information but ongoing work programs, </w:t>
      </w:r>
      <w:r w:rsidRPr="00A707F3">
        <w:rPr>
          <w:rFonts w:ascii="Century Gothic" w:hAnsi="Century Gothic"/>
          <w:sz w:val="22"/>
          <w:szCs w:val="22"/>
        </w:rPr>
        <w:t xml:space="preserve">or </w:t>
      </w:r>
      <w:r w:rsidR="00C94A30" w:rsidRPr="00A707F3">
        <w:rPr>
          <w:rFonts w:ascii="Century Gothic" w:hAnsi="Century Gothic"/>
          <w:sz w:val="22"/>
          <w:szCs w:val="22"/>
        </w:rPr>
        <w:t xml:space="preserve">genuine </w:t>
      </w:r>
      <w:r w:rsidRPr="00A707F3">
        <w:rPr>
          <w:rFonts w:ascii="Century Gothic" w:hAnsi="Century Gothic"/>
          <w:sz w:val="22"/>
          <w:szCs w:val="22"/>
        </w:rPr>
        <w:t>gaps in jurisdictions’ reporting to the Commission.</w:t>
      </w:r>
    </w:p>
    <w:p w14:paraId="222675D3" w14:textId="77777777" w:rsidR="00A7045B" w:rsidRPr="004F13A4" w:rsidRDefault="00C86539">
      <w:pPr>
        <w:pStyle w:val="Heading1"/>
        <w:spacing w:before="280" w:after="140"/>
        <w:rPr>
          <w:rFonts w:ascii="Century Gothic" w:hAnsi="Century Gothic"/>
        </w:rPr>
      </w:pPr>
      <w:r w:rsidRPr="004F13A4">
        <w:rPr>
          <w:rFonts w:ascii="Century Gothic" w:hAnsi="Century Gothic"/>
          <w:color w:val="1F3864"/>
          <w:sz w:val="26"/>
          <w:szCs w:val="26"/>
        </w:rPr>
        <w:t>Response to Information Request 2</w:t>
      </w:r>
    </w:p>
    <w:p w14:paraId="3882ED47" w14:textId="77777777" w:rsidR="00A7045B" w:rsidRPr="004F13A4" w:rsidRDefault="00C86539">
      <w:pPr>
        <w:pStyle w:val="Heading2"/>
        <w:spacing w:before="220" w:after="100"/>
        <w:rPr>
          <w:rFonts w:ascii="Century Gothic" w:hAnsi="Century Gothic"/>
        </w:rPr>
      </w:pPr>
      <w:r w:rsidRPr="004F13A4">
        <w:rPr>
          <w:rFonts w:ascii="Century Gothic" w:hAnsi="Century Gothic"/>
          <w:i/>
          <w:iCs/>
          <w:sz w:val="23"/>
          <w:szCs w:val="23"/>
        </w:rPr>
        <w:t>Water access entitlements and planning frameworks (section 3)</w:t>
      </w:r>
    </w:p>
    <w:p w14:paraId="11D59D87" w14:textId="68821DEA" w:rsidR="00A7045B" w:rsidRPr="00A707F3" w:rsidRDefault="00C86539">
      <w:pPr>
        <w:spacing w:after="160" w:line="276" w:lineRule="auto"/>
        <w:rPr>
          <w:rFonts w:ascii="Century Gothic" w:hAnsi="Century Gothic"/>
        </w:rPr>
      </w:pPr>
      <w:r w:rsidRPr="004F13A4">
        <w:rPr>
          <w:rFonts w:ascii="Century Gothic" w:hAnsi="Century Gothic"/>
          <w:b/>
          <w:bCs/>
          <w:sz w:val="22"/>
          <w:szCs w:val="22"/>
        </w:rPr>
        <w:t>Triggers for rebalancing environmental and consumptive uses:</w:t>
      </w:r>
      <w:r w:rsidRPr="00A707F3">
        <w:rPr>
          <w:rFonts w:ascii="Century Gothic" w:hAnsi="Century Gothic"/>
          <w:sz w:val="22"/>
          <w:szCs w:val="22"/>
        </w:rPr>
        <w:t xml:space="preserve"> NIC does not support further rebalancing of the consumptive pool and does not consider new rebalancing triggers a national priority, given the progress described above. Where jurisdictions do develop triggers for extreme events, these must operate symmetrically – addressing both dry </w:t>
      </w:r>
      <w:r w:rsidRPr="00A707F3">
        <w:rPr>
          <w:rFonts w:ascii="Century Gothic" w:hAnsi="Century Gothic"/>
          <w:sz w:val="22"/>
          <w:szCs w:val="22"/>
        </w:rPr>
        <w:lastRenderedPageBreak/>
        <w:t>and wet extremes – rather than being oriented only towards further reductions in consumptive water. NIC’s position, including in our feedback on the draft NWA, is that Australia’s water entitlement, allocation, carryover and trading systems already provide the primary mechanism for adapting to climate variability, and that additional ‘precautionary’ or trigger-based mechanisms risk creating uncertainty for entitlement holders without a clear evidence base for their necessity.</w:t>
      </w:r>
    </w:p>
    <w:p w14:paraId="4B090AA0" w14:textId="059AA195" w:rsidR="00A7045B" w:rsidRPr="00A707F3" w:rsidRDefault="00C86539">
      <w:pPr>
        <w:spacing w:after="160" w:line="276" w:lineRule="auto"/>
        <w:rPr>
          <w:rFonts w:ascii="Century Gothic" w:hAnsi="Century Gothic"/>
        </w:rPr>
      </w:pPr>
      <w:r w:rsidRPr="004F13A4">
        <w:rPr>
          <w:rFonts w:ascii="Century Gothic" w:hAnsi="Century Gothic"/>
          <w:b/>
          <w:bCs/>
          <w:sz w:val="22"/>
          <w:szCs w:val="22"/>
        </w:rPr>
        <w:t>Improvements to monitoring, evaluation and reporting of water plans:</w:t>
      </w:r>
      <w:r w:rsidRPr="00A707F3">
        <w:rPr>
          <w:rFonts w:ascii="Century Gothic" w:hAnsi="Century Gothic"/>
          <w:sz w:val="22"/>
          <w:szCs w:val="22"/>
        </w:rPr>
        <w:t xml:space="preserve"> NIC supports improvements to monitoring and evaluation that build public and </w:t>
      </w:r>
      <w:r w:rsidR="007A35DB">
        <w:rPr>
          <w:rFonts w:ascii="Century Gothic" w:hAnsi="Century Gothic"/>
          <w:sz w:val="22"/>
          <w:szCs w:val="22"/>
        </w:rPr>
        <w:t>industry</w:t>
      </w:r>
      <w:r w:rsidRPr="00A707F3">
        <w:rPr>
          <w:rFonts w:ascii="Century Gothic" w:hAnsi="Century Gothic"/>
          <w:sz w:val="22"/>
          <w:szCs w:val="22"/>
        </w:rPr>
        <w:t xml:space="preserve"> confidence in water planning. However, we caution the PC against conflating ‘adaptive management’ with a mechanism for further, uncompensated reallocation of the consumptive pool. Any adaptive management framework must operate consistently with the NWI’s risk assignment framework – changes arising from government policy decisions, however described, must remain fully compensable.</w:t>
      </w:r>
    </w:p>
    <w:p w14:paraId="34E97A03" w14:textId="5DD8EDA1" w:rsidR="00A7045B" w:rsidRPr="00A707F3" w:rsidRDefault="00C86539">
      <w:pPr>
        <w:spacing w:after="160" w:line="276" w:lineRule="auto"/>
        <w:rPr>
          <w:rFonts w:ascii="Century Gothic" w:hAnsi="Century Gothic"/>
        </w:rPr>
      </w:pPr>
      <w:r w:rsidRPr="00F9758D">
        <w:rPr>
          <w:rFonts w:ascii="Century Gothic" w:hAnsi="Century Gothic"/>
          <w:b/>
          <w:bCs/>
          <w:sz w:val="22"/>
          <w:szCs w:val="22"/>
        </w:rPr>
        <w:t xml:space="preserve">Overallocation, overuse and interception: </w:t>
      </w:r>
      <w:r w:rsidRPr="00A707F3">
        <w:rPr>
          <w:rFonts w:ascii="Century Gothic" w:hAnsi="Century Gothic"/>
          <w:sz w:val="22"/>
          <w:szCs w:val="22"/>
        </w:rPr>
        <w:t xml:space="preserve">outside a small number of remaining at-risk systems, NIC considers the task of returning overallocated and overused systems to sustainable extraction limits substantially complete, particularly in the Murray–Darling Basin. We support continued, transparent reporting on the systems still working through this task, but do not support this being used as a basis for reopening settled allocations elsewhere. NIC supports licensing and metering for major </w:t>
      </w:r>
      <w:r w:rsidR="00B21908">
        <w:rPr>
          <w:rFonts w:ascii="Century Gothic" w:hAnsi="Century Gothic"/>
          <w:sz w:val="22"/>
          <w:szCs w:val="22"/>
        </w:rPr>
        <w:t>extraction</w:t>
      </w:r>
      <w:r w:rsidRPr="00A707F3">
        <w:rPr>
          <w:rFonts w:ascii="Century Gothic" w:hAnsi="Century Gothic"/>
          <w:sz w:val="22"/>
          <w:szCs w:val="22"/>
        </w:rPr>
        <w:t xml:space="preserve"> activities, consistent with our longstanding position that all significant water use should be transparently licensed, measured and accounted for, to protect the integrity of the entitlement framework for all water users.</w:t>
      </w:r>
      <w:r w:rsidR="00D72C46">
        <w:rPr>
          <w:rFonts w:ascii="Century Gothic" w:hAnsi="Century Gothic"/>
          <w:sz w:val="22"/>
          <w:szCs w:val="22"/>
        </w:rPr>
        <w:t xml:space="preserve">  The </w:t>
      </w:r>
      <w:r w:rsidR="007B1BC5">
        <w:rPr>
          <w:rFonts w:ascii="Century Gothic" w:hAnsi="Century Gothic"/>
          <w:sz w:val="22"/>
          <w:szCs w:val="22"/>
        </w:rPr>
        <w:t>accuracy and capacity of this measurement and reporting should be aligned to the potential risk of extraction and other users and therefore, is not a one size fits all solution</w:t>
      </w:r>
      <w:r w:rsidR="003F23A0">
        <w:rPr>
          <w:rFonts w:ascii="Century Gothic" w:hAnsi="Century Gothic"/>
          <w:sz w:val="22"/>
          <w:szCs w:val="22"/>
        </w:rPr>
        <w:t xml:space="preserve"> around Australia.</w:t>
      </w:r>
    </w:p>
    <w:p w14:paraId="7BFA8F6A" w14:textId="77777777" w:rsidR="00A7045B" w:rsidRPr="00A707F3" w:rsidRDefault="00C86539">
      <w:pPr>
        <w:pStyle w:val="Heading2"/>
        <w:spacing w:before="220" w:after="100"/>
        <w:rPr>
          <w:rFonts w:ascii="Century Gothic" w:hAnsi="Century Gothic"/>
        </w:rPr>
      </w:pPr>
      <w:r w:rsidRPr="00A707F3">
        <w:rPr>
          <w:rFonts w:ascii="Century Gothic" w:hAnsi="Century Gothic"/>
          <w:b/>
          <w:bCs/>
          <w:i/>
          <w:iCs/>
          <w:sz w:val="23"/>
          <w:szCs w:val="23"/>
        </w:rPr>
        <w:t>Climate change</w:t>
      </w:r>
    </w:p>
    <w:p w14:paraId="639F68F7" w14:textId="77777777" w:rsidR="005B49A0" w:rsidRDefault="003F23A0" w:rsidP="003F23A0">
      <w:pPr>
        <w:spacing w:after="160" w:line="276" w:lineRule="auto"/>
        <w:rPr>
          <w:rFonts w:ascii="Century Gothic" w:hAnsi="Century Gothic"/>
          <w:sz w:val="22"/>
          <w:szCs w:val="22"/>
        </w:rPr>
      </w:pPr>
      <w:r>
        <w:rPr>
          <w:rFonts w:ascii="Century Gothic" w:hAnsi="Century Gothic"/>
          <w:sz w:val="22"/>
          <w:szCs w:val="22"/>
        </w:rPr>
        <w:t>Noting our above commentary on climate change</w:t>
      </w:r>
      <w:r w:rsidR="00A92543">
        <w:rPr>
          <w:rFonts w:ascii="Century Gothic" w:hAnsi="Century Gothic"/>
          <w:sz w:val="22"/>
          <w:szCs w:val="22"/>
        </w:rPr>
        <w:t xml:space="preserve"> </w:t>
      </w:r>
      <w:r w:rsidR="005B49A0">
        <w:rPr>
          <w:rFonts w:ascii="Century Gothic" w:hAnsi="Century Gothic"/>
          <w:sz w:val="22"/>
          <w:szCs w:val="22"/>
        </w:rPr>
        <w:t>that outlines:</w:t>
      </w:r>
    </w:p>
    <w:p w14:paraId="6FA8CC31" w14:textId="6948DC84" w:rsidR="005B49A0" w:rsidRDefault="005B49A0" w:rsidP="005B49A0">
      <w:pPr>
        <w:pStyle w:val="ListParagraph"/>
        <w:numPr>
          <w:ilvl w:val="0"/>
          <w:numId w:val="2"/>
        </w:numPr>
        <w:spacing w:after="160" w:line="276" w:lineRule="auto"/>
        <w:rPr>
          <w:rFonts w:ascii="Century Gothic" w:hAnsi="Century Gothic"/>
          <w:sz w:val="22"/>
          <w:szCs w:val="22"/>
        </w:rPr>
      </w:pPr>
      <w:r>
        <w:rPr>
          <w:rFonts w:ascii="Century Gothic" w:hAnsi="Century Gothic"/>
          <w:sz w:val="22"/>
          <w:szCs w:val="22"/>
        </w:rPr>
        <w:t xml:space="preserve">Water allocation </w:t>
      </w:r>
      <w:r w:rsidR="00774936">
        <w:rPr>
          <w:rFonts w:ascii="Century Gothic" w:hAnsi="Century Gothic"/>
          <w:sz w:val="22"/>
          <w:szCs w:val="22"/>
        </w:rPr>
        <w:t>is</w:t>
      </w:r>
      <w:r>
        <w:rPr>
          <w:rFonts w:ascii="Century Gothic" w:hAnsi="Century Gothic"/>
          <w:sz w:val="22"/>
          <w:szCs w:val="22"/>
        </w:rPr>
        <w:t xml:space="preserve"> already self-adjusting climate response mechanism;</w:t>
      </w:r>
    </w:p>
    <w:p w14:paraId="082CC13D" w14:textId="37FDE3DA" w:rsidR="00935E77" w:rsidRDefault="008A26B2" w:rsidP="005B49A0">
      <w:pPr>
        <w:pStyle w:val="ListParagraph"/>
        <w:numPr>
          <w:ilvl w:val="0"/>
          <w:numId w:val="2"/>
        </w:numPr>
        <w:spacing w:after="160" w:line="276" w:lineRule="auto"/>
        <w:rPr>
          <w:rFonts w:ascii="Century Gothic" w:hAnsi="Century Gothic"/>
          <w:sz w:val="22"/>
          <w:szCs w:val="22"/>
        </w:rPr>
      </w:pPr>
      <w:r>
        <w:rPr>
          <w:rFonts w:ascii="Century Gothic" w:hAnsi="Century Gothic"/>
          <w:sz w:val="22"/>
          <w:szCs w:val="22"/>
        </w:rPr>
        <w:t xml:space="preserve">Extreme events are planned for; </w:t>
      </w:r>
    </w:p>
    <w:p w14:paraId="2F9C845E" w14:textId="740DF32A" w:rsidR="008A26B2" w:rsidRDefault="009D35DB" w:rsidP="005B49A0">
      <w:pPr>
        <w:pStyle w:val="ListParagraph"/>
        <w:numPr>
          <w:ilvl w:val="0"/>
          <w:numId w:val="2"/>
        </w:numPr>
        <w:spacing w:after="160" w:line="276" w:lineRule="auto"/>
        <w:rPr>
          <w:rFonts w:ascii="Century Gothic" w:hAnsi="Century Gothic"/>
          <w:sz w:val="22"/>
          <w:szCs w:val="22"/>
        </w:rPr>
      </w:pPr>
      <w:r>
        <w:rPr>
          <w:rFonts w:ascii="Century Gothic" w:hAnsi="Century Gothic"/>
          <w:sz w:val="22"/>
          <w:szCs w:val="22"/>
        </w:rPr>
        <w:t>A</w:t>
      </w:r>
      <w:r w:rsidR="00503E78">
        <w:rPr>
          <w:rFonts w:ascii="Century Gothic" w:hAnsi="Century Gothic"/>
          <w:sz w:val="22"/>
          <w:szCs w:val="22"/>
        </w:rPr>
        <w:t>daptive</w:t>
      </w:r>
      <w:r w:rsidR="008A26B2">
        <w:rPr>
          <w:rFonts w:ascii="Century Gothic" w:hAnsi="Century Gothic"/>
          <w:sz w:val="22"/>
          <w:szCs w:val="22"/>
        </w:rPr>
        <w:t xml:space="preserve"> management is built in</w:t>
      </w:r>
      <w:r w:rsidR="00935E77">
        <w:rPr>
          <w:rFonts w:ascii="Century Gothic" w:hAnsi="Century Gothic"/>
          <w:sz w:val="22"/>
          <w:szCs w:val="22"/>
        </w:rPr>
        <w:t>; and</w:t>
      </w:r>
    </w:p>
    <w:p w14:paraId="5C29033F" w14:textId="0333B1EF" w:rsidR="00935E77" w:rsidRDefault="009D35DB" w:rsidP="005B49A0">
      <w:pPr>
        <w:pStyle w:val="ListParagraph"/>
        <w:numPr>
          <w:ilvl w:val="0"/>
          <w:numId w:val="2"/>
        </w:numPr>
        <w:spacing w:after="160" w:line="276" w:lineRule="auto"/>
        <w:rPr>
          <w:rFonts w:ascii="Century Gothic" w:hAnsi="Century Gothic"/>
          <w:sz w:val="22"/>
          <w:szCs w:val="22"/>
        </w:rPr>
      </w:pPr>
      <w:r>
        <w:rPr>
          <w:rFonts w:ascii="Century Gothic" w:hAnsi="Century Gothic"/>
          <w:sz w:val="22"/>
          <w:szCs w:val="22"/>
        </w:rPr>
        <w:t>W</w:t>
      </w:r>
      <w:r w:rsidR="00935E77">
        <w:rPr>
          <w:rFonts w:ascii="Century Gothic" w:hAnsi="Century Gothic"/>
          <w:sz w:val="22"/>
          <w:szCs w:val="22"/>
        </w:rPr>
        <w:t>ater recovery</w:t>
      </w:r>
      <w:r>
        <w:rPr>
          <w:rFonts w:ascii="Century Gothic" w:hAnsi="Century Gothic"/>
          <w:sz w:val="22"/>
          <w:szCs w:val="22"/>
        </w:rPr>
        <w:t xml:space="preserve"> is a poor tool for drought resilience.</w:t>
      </w:r>
    </w:p>
    <w:p w14:paraId="7E8DE2CC" w14:textId="7079CF75" w:rsidR="00A92543" w:rsidRPr="008A26B2" w:rsidRDefault="008A26B2" w:rsidP="008A26B2">
      <w:pPr>
        <w:spacing w:after="160" w:line="276" w:lineRule="auto"/>
        <w:rPr>
          <w:rFonts w:ascii="Century Gothic" w:hAnsi="Century Gothic"/>
          <w:sz w:val="22"/>
          <w:szCs w:val="22"/>
        </w:rPr>
      </w:pPr>
      <w:r>
        <w:rPr>
          <w:rFonts w:ascii="Century Gothic" w:hAnsi="Century Gothic"/>
          <w:sz w:val="22"/>
          <w:szCs w:val="22"/>
        </w:rPr>
        <w:t>T</w:t>
      </w:r>
      <w:r w:rsidR="00A92543" w:rsidRPr="008A26B2">
        <w:rPr>
          <w:rFonts w:ascii="Century Gothic" w:hAnsi="Century Gothic"/>
          <w:sz w:val="22"/>
          <w:szCs w:val="22"/>
        </w:rPr>
        <w:t xml:space="preserve">here </w:t>
      </w:r>
      <w:r w:rsidR="005934F2" w:rsidRPr="008A26B2">
        <w:rPr>
          <w:rFonts w:ascii="Century Gothic" w:hAnsi="Century Gothic"/>
          <w:sz w:val="22"/>
          <w:szCs w:val="22"/>
        </w:rPr>
        <w:t>is</w:t>
      </w:r>
      <w:r w:rsidR="00A92543" w:rsidRPr="008A26B2">
        <w:rPr>
          <w:rFonts w:ascii="Century Gothic" w:hAnsi="Century Gothic"/>
          <w:sz w:val="22"/>
          <w:szCs w:val="22"/>
        </w:rPr>
        <w:t xml:space="preserve"> uncertain risk associated with future water availability that must be </w:t>
      </w:r>
      <w:r w:rsidR="005934F2" w:rsidRPr="008A26B2">
        <w:rPr>
          <w:rFonts w:ascii="Century Gothic" w:hAnsi="Century Gothic"/>
          <w:sz w:val="22"/>
          <w:szCs w:val="22"/>
        </w:rPr>
        <w:t>reduced</w:t>
      </w:r>
      <w:r w:rsidR="005B49A0" w:rsidRPr="008A26B2">
        <w:rPr>
          <w:rFonts w:ascii="Century Gothic" w:hAnsi="Century Gothic"/>
          <w:sz w:val="22"/>
          <w:szCs w:val="22"/>
        </w:rPr>
        <w:t xml:space="preserve"> via </w:t>
      </w:r>
      <w:r w:rsidR="00A92543" w:rsidRPr="008A26B2">
        <w:rPr>
          <w:rFonts w:ascii="Century Gothic" w:hAnsi="Century Gothic"/>
          <w:sz w:val="22"/>
          <w:szCs w:val="22"/>
        </w:rPr>
        <w:t>further information</w:t>
      </w:r>
      <w:r>
        <w:rPr>
          <w:rFonts w:ascii="Century Gothic" w:hAnsi="Century Gothic"/>
          <w:sz w:val="22"/>
          <w:szCs w:val="22"/>
        </w:rPr>
        <w:t xml:space="preserve"> </w:t>
      </w:r>
      <w:r w:rsidR="00503E78">
        <w:rPr>
          <w:rFonts w:ascii="Century Gothic" w:hAnsi="Century Gothic"/>
          <w:sz w:val="22"/>
          <w:szCs w:val="22"/>
        </w:rPr>
        <w:t>before immediate action</w:t>
      </w:r>
      <w:r w:rsidR="00A92543" w:rsidRPr="008A26B2">
        <w:rPr>
          <w:rFonts w:ascii="Century Gothic" w:hAnsi="Century Gothic"/>
          <w:sz w:val="22"/>
          <w:szCs w:val="22"/>
        </w:rPr>
        <w:t>.</w:t>
      </w:r>
      <w:r w:rsidR="003F23A0" w:rsidRPr="008A26B2">
        <w:rPr>
          <w:rFonts w:ascii="Century Gothic" w:hAnsi="Century Gothic"/>
          <w:sz w:val="22"/>
          <w:szCs w:val="22"/>
        </w:rPr>
        <w:t xml:space="preserve"> </w:t>
      </w:r>
      <w:r w:rsidR="00A92543" w:rsidRPr="008A26B2">
        <w:rPr>
          <w:rFonts w:ascii="Century Gothic" w:hAnsi="Century Gothic"/>
          <w:sz w:val="22"/>
          <w:szCs w:val="22"/>
        </w:rPr>
        <w:t>For example, m</w:t>
      </w:r>
      <w:r w:rsidR="003F23A0" w:rsidRPr="008A26B2">
        <w:rPr>
          <w:rFonts w:ascii="Century Gothic" w:hAnsi="Century Gothic"/>
          <w:sz w:val="22"/>
          <w:szCs w:val="22"/>
        </w:rPr>
        <w:t>odelling shows declining reliability under dry scenarios, but genuine uncertainty remains</w:t>
      </w:r>
      <w:r w:rsidR="00A92543" w:rsidRPr="008A26B2">
        <w:rPr>
          <w:rFonts w:ascii="Century Gothic" w:hAnsi="Century Gothic"/>
          <w:sz w:val="22"/>
          <w:szCs w:val="22"/>
        </w:rPr>
        <w:t>.</w:t>
      </w:r>
    </w:p>
    <w:p w14:paraId="0234771A" w14:textId="6EC3751A" w:rsidR="003F23A0" w:rsidRPr="00A92543" w:rsidRDefault="003F23A0" w:rsidP="003F23A0">
      <w:pPr>
        <w:spacing w:after="160" w:line="276" w:lineRule="auto"/>
        <w:rPr>
          <w:rFonts w:ascii="Century Gothic" w:hAnsi="Century Gothic"/>
          <w:sz w:val="22"/>
          <w:szCs w:val="22"/>
        </w:rPr>
      </w:pPr>
      <w:r w:rsidRPr="00A707F3">
        <w:rPr>
          <w:rFonts w:ascii="Century Gothic" w:hAnsi="Century Gothic"/>
          <w:sz w:val="22"/>
          <w:szCs w:val="22"/>
        </w:rPr>
        <w:t>NSW Government modelling shows that under a dry future climate scenario, the proportion of time general</w:t>
      </w:r>
      <w:r w:rsidR="00A92543">
        <w:rPr>
          <w:rFonts w:ascii="Century Gothic" w:hAnsi="Century Gothic"/>
          <w:sz w:val="22"/>
          <w:szCs w:val="22"/>
        </w:rPr>
        <w:t xml:space="preserve"> </w:t>
      </w:r>
      <w:r w:rsidRPr="00A707F3">
        <w:rPr>
          <w:rFonts w:ascii="Century Gothic" w:hAnsi="Century Gothic"/>
          <w:sz w:val="22"/>
          <w:szCs w:val="22"/>
        </w:rPr>
        <w:t>security allocations reach 100 percent could fall materially</w:t>
      </w:r>
      <w:r w:rsidR="00F352F0">
        <w:rPr>
          <w:rFonts w:ascii="Century Gothic" w:hAnsi="Century Gothic"/>
          <w:sz w:val="22"/>
          <w:szCs w:val="22"/>
        </w:rPr>
        <w:t xml:space="preserve">, </w:t>
      </w:r>
      <w:r w:rsidRPr="00A707F3">
        <w:rPr>
          <w:rFonts w:ascii="Century Gothic" w:hAnsi="Century Gothic"/>
          <w:sz w:val="22"/>
          <w:szCs w:val="22"/>
        </w:rPr>
        <w:t>for example, from around 40 percent of the time to around 6 percent in the Murrumbidgee, and from around 60 percent to around 20 percent in the NSW Murray. At the same time, CSIRO</w:t>
      </w:r>
      <w:r w:rsidR="008E43AA">
        <w:rPr>
          <w:rFonts w:ascii="Century Gothic" w:hAnsi="Century Gothic"/>
          <w:sz w:val="22"/>
          <w:szCs w:val="22"/>
        </w:rPr>
        <w:t xml:space="preserve"> and </w:t>
      </w:r>
      <w:r w:rsidRPr="00A707F3">
        <w:rPr>
          <w:rFonts w:ascii="Century Gothic" w:hAnsi="Century Gothic"/>
          <w:sz w:val="22"/>
          <w:szCs w:val="22"/>
        </w:rPr>
        <w:t xml:space="preserve">Bureau of Meteorology climate data (My Climate View) shows that, for several Basin case-study locations, both future </w:t>
      </w:r>
      <w:r w:rsidR="00D74484" w:rsidRPr="00A707F3">
        <w:rPr>
          <w:rFonts w:ascii="Century Gothic" w:hAnsi="Century Gothic"/>
          <w:sz w:val="22"/>
          <w:szCs w:val="22"/>
        </w:rPr>
        <w:t>times</w:t>
      </w:r>
      <w:r w:rsidRPr="00A707F3">
        <w:rPr>
          <w:rFonts w:ascii="Century Gothic" w:hAnsi="Century Gothic"/>
          <w:sz w:val="22"/>
          <w:szCs w:val="22"/>
        </w:rPr>
        <w:t xml:space="preserve"> spent in drought and total future rainfall are assessed as inconclusive against the historical record with change more evident in the seasonal pattern of rainfall (some increasing, some decreasing) than in an overall drying trend. Climate change scenarios for the northern Basin in particular point to potentially wetter, </w:t>
      </w:r>
      <w:r w:rsidRPr="00A707F3">
        <w:rPr>
          <w:rFonts w:ascii="Century Gothic" w:hAnsi="Century Gothic"/>
          <w:sz w:val="22"/>
          <w:szCs w:val="22"/>
        </w:rPr>
        <w:lastRenderedPageBreak/>
        <w:t>not drier, conditions. This underlines that climate change is not simply ‘less water’, and that any policy response must be built on region-specific evidence rather than a uniform assumption of drying.</w:t>
      </w:r>
    </w:p>
    <w:p w14:paraId="1A2B3C05" w14:textId="7BBBD784" w:rsidR="00C94A30" w:rsidRPr="00A707F3" w:rsidRDefault="004B7535">
      <w:pPr>
        <w:spacing w:after="160" w:line="276" w:lineRule="auto"/>
        <w:rPr>
          <w:rFonts w:ascii="Century Gothic" w:hAnsi="Century Gothic"/>
          <w:sz w:val="22"/>
          <w:szCs w:val="22"/>
        </w:rPr>
      </w:pPr>
      <w:r>
        <w:rPr>
          <w:rFonts w:ascii="Century Gothic" w:hAnsi="Century Gothic"/>
          <w:b/>
          <w:bCs/>
          <w:sz w:val="22"/>
          <w:szCs w:val="22"/>
        </w:rPr>
        <w:t>New</w:t>
      </w:r>
      <w:r w:rsidR="008A1529">
        <w:rPr>
          <w:rFonts w:ascii="Century Gothic" w:hAnsi="Century Gothic"/>
          <w:b/>
          <w:bCs/>
          <w:sz w:val="22"/>
          <w:szCs w:val="22"/>
        </w:rPr>
        <w:t xml:space="preserve"> c</w:t>
      </w:r>
      <w:r w:rsidR="00C94A30" w:rsidRPr="00A707F3">
        <w:rPr>
          <w:rFonts w:ascii="Century Gothic" w:hAnsi="Century Gothic"/>
          <w:b/>
          <w:bCs/>
          <w:sz w:val="22"/>
          <w:szCs w:val="22"/>
        </w:rPr>
        <w:t xml:space="preserve">limate triggers: </w:t>
      </w:r>
      <w:r w:rsidR="00C44CDE">
        <w:rPr>
          <w:rFonts w:ascii="Century Gothic" w:hAnsi="Century Gothic"/>
          <w:sz w:val="22"/>
          <w:szCs w:val="22"/>
        </w:rPr>
        <w:t>submission to the current inquiry</w:t>
      </w:r>
      <w:r w:rsidR="00C94A30" w:rsidRPr="00A707F3">
        <w:rPr>
          <w:rFonts w:ascii="Century Gothic" w:hAnsi="Century Gothic"/>
          <w:sz w:val="22"/>
          <w:szCs w:val="22"/>
        </w:rPr>
        <w:t xml:space="preserve"> </w:t>
      </w:r>
      <w:r w:rsidR="0013240A">
        <w:rPr>
          <w:rFonts w:ascii="Century Gothic" w:hAnsi="Century Gothic"/>
          <w:sz w:val="22"/>
          <w:szCs w:val="22"/>
        </w:rPr>
        <w:t xml:space="preserve">have called for </w:t>
      </w:r>
      <w:r w:rsidR="00C94A30" w:rsidRPr="00A707F3">
        <w:rPr>
          <w:rFonts w:ascii="Century Gothic" w:hAnsi="Century Gothic"/>
          <w:sz w:val="22"/>
          <w:szCs w:val="22"/>
        </w:rPr>
        <w:t>new, explicit climate risk assessment and adaptive management triggers, arguing that recognition of climate change has not consistently translated into enforceable safeguards. NIC disagrees that new triggers are the appropriate response. The</w:t>
      </w:r>
      <w:r w:rsidR="00266C0E">
        <w:rPr>
          <w:rFonts w:ascii="Century Gothic" w:hAnsi="Century Gothic"/>
          <w:sz w:val="22"/>
          <w:szCs w:val="22"/>
        </w:rPr>
        <w:t xml:space="preserve">re are </w:t>
      </w:r>
      <w:r w:rsidR="00F9119B">
        <w:rPr>
          <w:rFonts w:ascii="Century Gothic" w:hAnsi="Century Gothic"/>
          <w:sz w:val="22"/>
          <w:szCs w:val="22"/>
        </w:rPr>
        <w:t xml:space="preserve">adaptable allocation systems, monitoring and review as well as, extreme and emergency response mechanisms already in place. </w:t>
      </w:r>
      <w:r w:rsidR="00C94A30" w:rsidRPr="00A707F3">
        <w:rPr>
          <w:rFonts w:ascii="Century Gothic" w:hAnsi="Century Gothic"/>
          <w:sz w:val="22"/>
          <w:szCs w:val="22"/>
        </w:rPr>
        <w:t>Introducing new, separate climate triggers ahead of consistent, national implementation of the existing risk assignment framework would add a further layer of uncertainty for entitlement holders rather than resolve one.</w:t>
      </w:r>
    </w:p>
    <w:p w14:paraId="1D7815EA" w14:textId="70A07F5A" w:rsidR="00A7045B" w:rsidRPr="00A707F3" w:rsidRDefault="00A7045B">
      <w:pPr>
        <w:spacing w:after="160" w:line="276" w:lineRule="auto"/>
        <w:rPr>
          <w:rFonts w:ascii="Century Gothic" w:hAnsi="Century Gothic"/>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96"/>
      </w:tblGrid>
      <w:tr w:rsidR="00A7045B" w:rsidRPr="00A707F3" w14:paraId="3776781C" w14:textId="77777777">
        <w:tc>
          <w:tcPr>
            <w:tcW w:w="9350" w:type="dxa"/>
            <w:shd w:val="clear" w:color="auto" w:fill="EAF1F8"/>
            <w:tcMar>
              <w:top w:w="120" w:type="dxa"/>
              <w:left w:w="160" w:type="dxa"/>
              <w:bottom w:w="120" w:type="dxa"/>
              <w:right w:w="160" w:type="dxa"/>
            </w:tcMar>
          </w:tcPr>
          <w:p w14:paraId="22ED64E3" w14:textId="77777777" w:rsidR="00A7045B" w:rsidRPr="00A707F3" w:rsidRDefault="00C86539">
            <w:pPr>
              <w:spacing w:after="60"/>
              <w:rPr>
                <w:rFonts w:ascii="Century Gothic" w:hAnsi="Century Gothic"/>
              </w:rPr>
            </w:pPr>
            <w:r w:rsidRPr="00A707F3">
              <w:rPr>
                <w:rFonts w:ascii="Century Gothic" w:hAnsi="Century Gothic"/>
                <w:b/>
                <w:bCs/>
                <w:color w:val="1F3864"/>
                <w:sz w:val="22"/>
                <w:szCs w:val="22"/>
              </w:rPr>
              <w:t>NIC recommends</w:t>
            </w:r>
          </w:p>
          <w:p w14:paraId="084418C2" w14:textId="63AB6CAB" w:rsidR="00A7045B" w:rsidRPr="00A707F3" w:rsidRDefault="00C86539">
            <w:pPr>
              <w:spacing w:line="276" w:lineRule="auto"/>
              <w:rPr>
                <w:rFonts w:ascii="Century Gothic" w:hAnsi="Century Gothic"/>
              </w:rPr>
            </w:pPr>
            <w:r w:rsidRPr="00A707F3">
              <w:rPr>
                <w:rFonts w:ascii="Century Gothic" w:hAnsi="Century Gothic"/>
                <w:sz w:val="22"/>
                <w:szCs w:val="22"/>
              </w:rPr>
              <w:t xml:space="preserve">The PC's final report </w:t>
            </w:r>
            <w:r w:rsidR="001712F2">
              <w:rPr>
                <w:rFonts w:ascii="Century Gothic" w:hAnsi="Century Gothic"/>
                <w:sz w:val="22"/>
                <w:szCs w:val="22"/>
              </w:rPr>
              <w:t xml:space="preserve">should not support </w:t>
            </w:r>
            <w:r w:rsidRPr="00A707F3">
              <w:rPr>
                <w:rFonts w:ascii="Century Gothic" w:hAnsi="Century Gothic"/>
                <w:sz w:val="22"/>
                <w:szCs w:val="22"/>
              </w:rPr>
              <w:t>new principles, triggers or further water recovery</w:t>
            </w:r>
            <w:r w:rsidR="001712F2">
              <w:rPr>
                <w:rFonts w:ascii="Century Gothic" w:hAnsi="Century Gothic"/>
                <w:sz w:val="22"/>
                <w:szCs w:val="22"/>
              </w:rPr>
              <w:t xml:space="preserve"> under the guise of managing climate change</w:t>
            </w:r>
            <w:r w:rsidRPr="00A707F3">
              <w:rPr>
                <w:rFonts w:ascii="Century Gothic" w:hAnsi="Century Gothic"/>
                <w:sz w:val="22"/>
                <w:szCs w:val="22"/>
              </w:rPr>
              <w:t xml:space="preserve">. </w:t>
            </w:r>
          </w:p>
        </w:tc>
      </w:tr>
    </w:tbl>
    <w:p w14:paraId="56EA9566" w14:textId="77777777" w:rsidR="00A7045B" w:rsidRPr="00201ACD" w:rsidRDefault="00C86539">
      <w:pPr>
        <w:pStyle w:val="Heading2"/>
        <w:spacing w:before="220" w:after="100"/>
        <w:rPr>
          <w:rFonts w:ascii="Century Gothic" w:hAnsi="Century Gothic"/>
        </w:rPr>
      </w:pPr>
      <w:r w:rsidRPr="00201ACD">
        <w:rPr>
          <w:rFonts w:ascii="Century Gothic" w:hAnsi="Century Gothic"/>
          <w:i/>
          <w:iCs/>
          <w:sz w:val="23"/>
          <w:szCs w:val="23"/>
        </w:rPr>
        <w:t>Integrated management of water for environmental and other public benefit outcomes (section 6)</w:t>
      </w:r>
    </w:p>
    <w:p w14:paraId="007251FC" w14:textId="279F3D04" w:rsidR="00A7045B" w:rsidRPr="00A707F3" w:rsidRDefault="00C86539">
      <w:pPr>
        <w:spacing w:after="160" w:line="276" w:lineRule="auto"/>
        <w:rPr>
          <w:rFonts w:ascii="Century Gothic" w:hAnsi="Century Gothic"/>
        </w:rPr>
      </w:pPr>
      <w:r w:rsidRPr="00201ACD">
        <w:rPr>
          <w:rFonts w:ascii="Century Gothic" w:hAnsi="Century Gothic"/>
          <w:b/>
          <w:bCs/>
          <w:sz w:val="22"/>
          <w:szCs w:val="22"/>
        </w:rPr>
        <w:t>Consistency of water plan outcomes with community expectations:</w:t>
      </w:r>
      <w:r w:rsidRPr="00A707F3">
        <w:rPr>
          <w:rFonts w:ascii="Century Gothic" w:hAnsi="Century Gothic"/>
          <w:sz w:val="22"/>
          <w:szCs w:val="22"/>
        </w:rPr>
        <w:t xml:space="preserve"> NIC’s principal concern in this area, as noted in the interim update itself, is the lack of transparency around</w:t>
      </w:r>
      <w:r w:rsidR="001B3D52">
        <w:rPr>
          <w:rFonts w:ascii="Century Gothic" w:hAnsi="Century Gothic"/>
          <w:sz w:val="22"/>
          <w:szCs w:val="22"/>
        </w:rPr>
        <w:t xml:space="preserve"> the </w:t>
      </w:r>
      <w:r w:rsidRPr="00A707F3">
        <w:rPr>
          <w:rFonts w:ascii="Century Gothic" w:hAnsi="Century Gothic"/>
          <w:sz w:val="22"/>
          <w:szCs w:val="22"/>
        </w:rPr>
        <w:t>rules-based changes to water allocations for irrigation. Where water plan reviews or rule changes have the effect of reducing the reliability or volume of water available to consumptive entitlement holders, this must be conducted through the same transparent, evidence-based and (where applicable) compensable processes that apply to other forms of water recovery. NIC does not consider it appropriate for water plan review processes to be used as a substitute for structured, market-based water recovery.</w:t>
      </w:r>
    </w:p>
    <w:p w14:paraId="3CBFE18D" w14:textId="77777777" w:rsidR="00A7045B" w:rsidRPr="00A707F3" w:rsidRDefault="00C86539">
      <w:pPr>
        <w:spacing w:after="160" w:line="276" w:lineRule="auto"/>
        <w:rPr>
          <w:rFonts w:ascii="Century Gothic" w:hAnsi="Century Gothic"/>
        </w:rPr>
      </w:pPr>
      <w:r w:rsidRPr="00201ACD">
        <w:rPr>
          <w:rFonts w:ascii="Century Gothic" w:hAnsi="Century Gothic"/>
          <w:b/>
          <w:bCs/>
          <w:sz w:val="22"/>
          <w:szCs w:val="22"/>
        </w:rPr>
        <w:t>Accountability for environmental and other public benefit outcomes:</w:t>
      </w:r>
      <w:r w:rsidRPr="00A707F3">
        <w:rPr>
          <w:rFonts w:ascii="Century Gothic" w:hAnsi="Century Gothic"/>
          <w:sz w:val="22"/>
          <w:szCs w:val="22"/>
        </w:rPr>
        <w:t xml:space="preserve"> NIC supports improved accountability for environmental water managers, including independent audit and review, applied consistently across jurisdictions. We reiterate our long-held view that environmental water holders should be subject to the same standards of transparency in their trading and allocation decisions as other entitlement holders, and that variations to trading rules affecting environmental water should be subject to the same public scrutiny as other regulatory changes, justified on a case-by-case basis.</w:t>
      </w:r>
    </w:p>
    <w:p w14:paraId="283CB01F" w14:textId="77777777" w:rsidR="00A7045B" w:rsidRPr="00EE6295" w:rsidRDefault="00C86539">
      <w:pPr>
        <w:pStyle w:val="Heading2"/>
        <w:spacing w:before="220" w:after="100"/>
        <w:rPr>
          <w:rFonts w:ascii="Century Gothic" w:hAnsi="Century Gothic"/>
        </w:rPr>
      </w:pPr>
      <w:r w:rsidRPr="00EE6295">
        <w:rPr>
          <w:rFonts w:ascii="Century Gothic" w:hAnsi="Century Gothic"/>
          <w:i/>
          <w:iCs/>
          <w:sz w:val="23"/>
          <w:szCs w:val="23"/>
        </w:rPr>
        <w:t>Water resource accounting (section 7)</w:t>
      </w:r>
    </w:p>
    <w:p w14:paraId="3B3D68A8" w14:textId="3221EE99" w:rsidR="00A7045B" w:rsidRPr="00A707F3" w:rsidRDefault="00C86539">
      <w:pPr>
        <w:spacing w:after="160" w:line="276" w:lineRule="auto"/>
        <w:rPr>
          <w:rFonts w:ascii="Century Gothic" w:hAnsi="Century Gothic"/>
        </w:rPr>
      </w:pPr>
      <w:r w:rsidRPr="00EE6295">
        <w:rPr>
          <w:rFonts w:ascii="Century Gothic" w:hAnsi="Century Gothic"/>
          <w:b/>
          <w:bCs/>
          <w:sz w:val="22"/>
          <w:szCs w:val="22"/>
        </w:rPr>
        <w:t>Timely, transparent and accessible information on water allocations:</w:t>
      </w:r>
      <w:r w:rsidRPr="00A707F3">
        <w:rPr>
          <w:rFonts w:ascii="Century Gothic" w:hAnsi="Century Gothic"/>
          <w:sz w:val="22"/>
          <w:szCs w:val="22"/>
        </w:rPr>
        <w:t xml:space="preserve"> NIC supports improvements to the timeliness, transparency and accessibility of information on water allocations, to support entitlement holders in making informed water-use decisions. Continued investment in </w:t>
      </w:r>
      <w:r w:rsidR="003577D3">
        <w:rPr>
          <w:rFonts w:ascii="Century Gothic" w:hAnsi="Century Gothic"/>
          <w:sz w:val="22"/>
          <w:szCs w:val="22"/>
        </w:rPr>
        <w:t xml:space="preserve">consistent </w:t>
      </w:r>
      <w:r w:rsidRPr="00A707F3">
        <w:rPr>
          <w:rFonts w:ascii="Century Gothic" w:hAnsi="Century Gothic"/>
          <w:sz w:val="22"/>
          <w:szCs w:val="22"/>
        </w:rPr>
        <w:t xml:space="preserve">national water accounting </w:t>
      </w:r>
      <w:r w:rsidR="009159DB" w:rsidRPr="00A707F3">
        <w:rPr>
          <w:rFonts w:ascii="Century Gothic" w:hAnsi="Century Gothic"/>
          <w:sz w:val="22"/>
          <w:szCs w:val="22"/>
        </w:rPr>
        <w:t>infrastructure</w:t>
      </w:r>
      <w:r w:rsidR="009159DB">
        <w:rPr>
          <w:rFonts w:ascii="Century Gothic" w:hAnsi="Century Gothic"/>
          <w:sz w:val="22"/>
          <w:szCs w:val="22"/>
        </w:rPr>
        <w:t xml:space="preserve"> that</w:t>
      </w:r>
      <w:r w:rsidR="003577D3">
        <w:rPr>
          <w:rFonts w:ascii="Century Gothic" w:hAnsi="Century Gothic"/>
          <w:sz w:val="22"/>
          <w:szCs w:val="22"/>
        </w:rPr>
        <w:t xml:space="preserve"> is fit for purpose</w:t>
      </w:r>
      <w:r w:rsidR="00EE6295">
        <w:rPr>
          <w:rFonts w:ascii="Century Gothic" w:hAnsi="Century Gothic"/>
          <w:sz w:val="22"/>
          <w:szCs w:val="22"/>
        </w:rPr>
        <w:t xml:space="preserve">, and </w:t>
      </w:r>
      <w:r w:rsidR="009B317A">
        <w:rPr>
          <w:rFonts w:ascii="Century Gothic" w:hAnsi="Century Gothic"/>
          <w:sz w:val="22"/>
          <w:szCs w:val="22"/>
        </w:rPr>
        <w:t>costs are limited,</w:t>
      </w:r>
      <w:r w:rsidR="003577D3">
        <w:rPr>
          <w:rFonts w:ascii="Century Gothic" w:hAnsi="Century Gothic"/>
          <w:sz w:val="22"/>
          <w:szCs w:val="22"/>
        </w:rPr>
        <w:t xml:space="preserve"> </w:t>
      </w:r>
      <w:r w:rsidR="009159DB">
        <w:rPr>
          <w:rFonts w:ascii="Century Gothic" w:hAnsi="Century Gothic"/>
          <w:sz w:val="22"/>
          <w:szCs w:val="22"/>
        </w:rPr>
        <w:t>can support further transparency if designed and implemented appropriately</w:t>
      </w:r>
      <w:r w:rsidRPr="00A707F3">
        <w:rPr>
          <w:rFonts w:ascii="Century Gothic" w:hAnsi="Century Gothic"/>
          <w:sz w:val="22"/>
          <w:szCs w:val="22"/>
        </w:rPr>
        <w:t>.</w:t>
      </w:r>
      <w:r w:rsidR="009B317A">
        <w:rPr>
          <w:rFonts w:ascii="Century Gothic" w:hAnsi="Century Gothic"/>
          <w:sz w:val="22"/>
          <w:szCs w:val="22"/>
        </w:rPr>
        <w:t xml:space="preserve"> </w:t>
      </w:r>
      <w:r w:rsidR="00955A32">
        <w:rPr>
          <w:rFonts w:ascii="Century Gothic" w:hAnsi="Century Gothic"/>
          <w:sz w:val="22"/>
          <w:szCs w:val="22"/>
        </w:rPr>
        <w:t xml:space="preserve">We have had concerns with the approach and cost-benefit of the water market rules changes and consider it appropriate the review the rules, their adoption against costs and benefits. </w:t>
      </w:r>
    </w:p>
    <w:p w14:paraId="3DE4D53D" w14:textId="54849074" w:rsidR="00A7045B" w:rsidRDefault="00C86539">
      <w:pPr>
        <w:spacing w:after="160" w:line="276" w:lineRule="auto"/>
        <w:rPr>
          <w:rFonts w:ascii="Century Gothic" w:hAnsi="Century Gothic"/>
          <w:sz w:val="22"/>
          <w:szCs w:val="22"/>
        </w:rPr>
      </w:pPr>
      <w:r w:rsidRPr="00955A32">
        <w:rPr>
          <w:rFonts w:ascii="Century Gothic" w:hAnsi="Century Gothic"/>
          <w:b/>
          <w:bCs/>
          <w:sz w:val="22"/>
          <w:szCs w:val="22"/>
        </w:rPr>
        <w:lastRenderedPageBreak/>
        <w:t>Public reporting on planned and rules-based environmental water:</w:t>
      </w:r>
      <w:r w:rsidRPr="00A707F3">
        <w:rPr>
          <w:rFonts w:ascii="Century Gothic" w:hAnsi="Century Gothic"/>
          <w:sz w:val="22"/>
          <w:szCs w:val="22"/>
        </w:rPr>
        <w:t xml:space="preserve"> this is an area where NIC considers additional public reporting</w:t>
      </w:r>
      <w:r w:rsidR="00955A32">
        <w:rPr>
          <w:rFonts w:ascii="Century Gothic" w:hAnsi="Century Gothic"/>
          <w:sz w:val="22"/>
          <w:szCs w:val="22"/>
        </w:rPr>
        <w:t xml:space="preserve"> (or a </w:t>
      </w:r>
      <w:r w:rsidR="00E35B65">
        <w:rPr>
          <w:rFonts w:ascii="Century Gothic" w:hAnsi="Century Gothic"/>
          <w:sz w:val="22"/>
          <w:szCs w:val="22"/>
        </w:rPr>
        <w:t>repurposing of exiting report for clarity)</w:t>
      </w:r>
      <w:r w:rsidRPr="00A707F3">
        <w:rPr>
          <w:rFonts w:ascii="Century Gothic" w:hAnsi="Century Gothic"/>
          <w:sz w:val="22"/>
          <w:szCs w:val="22"/>
        </w:rPr>
        <w:t xml:space="preserve"> is genuinely needed. As raised throughout our submissions to this and related inquiries, decisions to vary rules-based or planned environmental water arrangements can have the practical effect of reducing water available for consumptive use, without the transparency, process or compensation that would apply to an equivalent change affecting a held entitlement.</w:t>
      </w:r>
    </w:p>
    <w:p w14:paraId="48C359FE" w14:textId="643F1D2F" w:rsidR="00265F12" w:rsidRPr="00E35B65" w:rsidRDefault="00265F12">
      <w:pPr>
        <w:spacing w:after="160" w:line="276" w:lineRule="auto"/>
        <w:rPr>
          <w:rFonts w:ascii="Century Gothic" w:hAnsi="Century Gothic"/>
          <w:sz w:val="22"/>
          <w:szCs w:val="22"/>
        </w:rPr>
      </w:pPr>
      <w:r w:rsidRPr="00E35B65">
        <w:rPr>
          <w:rFonts w:ascii="Century Gothic" w:hAnsi="Century Gothic"/>
          <w:sz w:val="22"/>
          <w:szCs w:val="22"/>
        </w:rPr>
        <w:t xml:space="preserve">Furthermore, given the range of environmental </w:t>
      </w:r>
      <w:r w:rsidR="009A3956" w:rsidRPr="00E35B65">
        <w:rPr>
          <w:rFonts w:ascii="Century Gothic" w:hAnsi="Century Gothic"/>
          <w:sz w:val="22"/>
          <w:szCs w:val="22"/>
        </w:rPr>
        <w:t>water holders and types of environmental water it is difficult to clearly articulate how much environmental water</w:t>
      </w:r>
      <w:r w:rsidR="00E35B65">
        <w:rPr>
          <w:rFonts w:ascii="Century Gothic" w:hAnsi="Century Gothic"/>
          <w:sz w:val="22"/>
          <w:szCs w:val="22"/>
        </w:rPr>
        <w:t xml:space="preserve"> maybe in a system, let alone how much </w:t>
      </w:r>
      <w:r w:rsidR="009A3956" w:rsidRPr="00E35B65">
        <w:rPr>
          <w:rFonts w:ascii="Century Gothic" w:hAnsi="Century Gothic"/>
          <w:sz w:val="22"/>
          <w:szCs w:val="22"/>
        </w:rPr>
        <w:t xml:space="preserve">has been used and where. </w:t>
      </w:r>
      <w:r w:rsidR="00D76E65" w:rsidRPr="00E35B65">
        <w:rPr>
          <w:rFonts w:ascii="Century Gothic" w:hAnsi="Century Gothic"/>
          <w:sz w:val="22"/>
          <w:szCs w:val="22"/>
        </w:rPr>
        <w:t>Clear and concise accounting of environmental water is needed to present a complete picture of water use</w:t>
      </w:r>
      <w:r w:rsidR="00E35B65">
        <w:rPr>
          <w:rFonts w:ascii="Century Gothic" w:hAnsi="Century Gothic"/>
          <w:sz w:val="22"/>
          <w:szCs w:val="22"/>
        </w:rPr>
        <w:t xml:space="preserve"> – for all users,</w:t>
      </w:r>
      <w:r w:rsidR="00D76E65" w:rsidRPr="00E35B65">
        <w:rPr>
          <w:rFonts w:ascii="Century Gothic" w:hAnsi="Century Gothic"/>
          <w:sz w:val="22"/>
          <w:szCs w:val="22"/>
        </w:rPr>
        <w:t xml:space="preserve"> </w:t>
      </w:r>
      <w:proofErr w:type="gramStart"/>
      <w:r w:rsidR="00D76E65" w:rsidRPr="00E35B65">
        <w:rPr>
          <w:rFonts w:ascii="Century Gothic" w:hAnsi="Century Gothic"/>
          <w:sz w:val="22"/>
          <w:szCs w:val="22"/>
        </w:rPr>
        <w:t>than</w:t>
      </w:r>
      <w:proofErr w:type="gramEnd"/>
      <w:r w:rsidR="00D76E65" w:rsidRPr="00E35B65">
        <w:rPr>
          <w:rFonts w:ascii="Century Gothic" w:hAnsi="Century Gothic"/>
          <w:sz w:val="22"/>
          <w:szCs w:val="22"/>
        </w:rPr>
        <w:t xml:space="preserve"> is currently provided. </w:t>
      </w:r>
    </w:p>
    <w:p w14:paraId="0085F709" w14:textId="58662297" w:rsidR="000755A5" w:rsidRPr="00E35B65" w:rsidRDefault="000755A5" w:rsidP="000755A5">
      <w:pPr>
        <w:spacing w:after="160" w:line="276" w:lineRule="auto"/>
        <w:rPr>
          <w:rFonts w:ascii="Century Gothic" w:hAnsi="Century Gothic"/>
          <w:sz w:val="22"/>
          <w:szCs w:val="22"/>
        </w:rPr>
      </w:pPr>
      <w:r w:rsidRPr="00E35B65">
        <w:rPr>
          <w:rFonts w:ascii="Century Gothic" w:hAnsi="Century Gothic"/>
          <w:b/>
          <w:bCs/>
          <w:sz w:val="22"/>
          <w:szCs w:val="22"/>
        </w:rPr>
        <w:t>Measurement of water:</w:t>
      </w:r>
      <w:r w:rsidRPr="00E35B65">
        <w:rPr>
          <w:rFonts w:ascii="Century Gothic" w:hAnsi="Century Gothic"/>
          <w:sz w:val="22"/>
          <w:szCs w:val="22"/>
        </w:rPr>
        <w:t xml:space="preserve"> notwithstanding the above section regarding transparency on environmental water, NIC also notes that that jurisdictions remain behind on rolling out AS4747 compliant non-urban meter. </w:t>
      </w:r>
      <w:r w:rsidR="006B63DC" w:rsidRPr="00E35B65">
        <w:rPr>
          <w:rFonts w:ascii="Century Gothic" w:hAnsi="Century Gothic"/>
          <w:sz w:val="22"/>
          <w:szCs w:val="22"/>
        </w:rPr>
        <w:t xml:space="preserve">Whilst measurement and accuracy </w:t>
      </w:r>
      <w:proofErr w:type="gramStart"/>
      <w:r w:rsidR="006B63DC" w:rsidRPr="00E35B65">
        <w:rPr>
          <w:rFonts w:ascii="Century Gothic" w:hAnsi="Century Gothic"/>
          <w:sz w:val="22"/>
          <w:szCs w:val="22"/>
        </w:rPr>
        <w:t>is</w:t>
      </w:r>
      <w:proofErr w:type="gramEnd"/>
      <w:r w:rsidR="006B63DC" w:rsidRPr="00E35B65">
        <w:rPr>
          <w:rFonts w:ascii="Century Gothic" w:hAnsi="Century Gothic"/>
          <w:sz w:val="22"/>
          <w:szCs w:val="22"/>
        </w:rPr>
        <w:t xml:space="preserve"> needed for public confidence,</w:t>
      </w:r>
      <w:r w:rsidR="00080BD3" w:rsidRPr="00E35B65">
        <w:rPr>
          <w:rFonts w:ascii="Century Gothic" w:hAnsi="Century Gothic"/>
          <w:sz w:val="22"/>
          <w:szCs w:val="22"/>
        </w:rPr>
        <w:t xml:space="preserve"> there should be more consistent reporting on the variety of measurement approaches</w:t>
      </w:r>
      <w:r w:rsidR="007F3EDF" w:rsidRPr="00E35B65">
        <w:rPr>
          <w:rFonts w:ascii="Century Gothic" w:hAnsi="Century Gothic"/>
          <w:sz w:val="22"/>
          <w:szCs w:val="22"/>
        </w:rPr>
        <w:t xml:space="preserve"> and metering options.  </w:t>
      </w:r>
      <w:r w:rsidR="00AC6ADC" w:rsidRPr="00E35B65">
        <w:rPr>
          <w:rFonts w:ascii="Century Gothic" w:hAnsi="Century Gothic"/>
          <w:sz w:val="22"/>
          <w:szCs w:val="22"/>
        </w:rPr>
        <w:t xml:space="preserve">It is perhaps timely to reconsider </w:t>
      </w:r>
      <w:r w:rsidR="00796EBC" w:rsidRPr="00E35B65">
        <w:rPr>
          <w:rFonts w:ascii="Century Gothic" w:hAnsi="Century Gothic"/>
          <w:sz w:val="22"/>
          <w:szCs w:val="22"/>
        </w:rPr>
        <w:t xml:space="preserve">objective of national metering standards and whether adoption of AS4747 is the most effective means of achieving consistency in measurement and reporting.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96"/>
      </w:tblGrid>
      <w:tr w:rsidR="00A7045B" w:rsidRPr="00A707F3" w14:paraId="5B671F30" w14:textId="77777777">
        <w:tc>
          <w:tcPr>
            <w:tcW w:w="9350" w:type="dxa"/>
            <w:shd w:val="clear" w:color="auto" w:fill="EAF1F8"/>
            <w:tcMar>
              <w:top w:w="120" w:type="dxa"/>
              <w:left w:w="160" w:type="dxa"/>
              <w:bottom w:w="120" w:type="dxa"/>
              <w:right w:w="160" w:type="dxa"/>
            </w:tcMar>
          </w:tcPr>
          <w:p w14:paraId="0ED567B2" w14:textId="77777777" w:rsidR="00A7045B" w:rsidRPr="00A707F3" w:rsidRDefault="00C86539">
            <w:pPr>
              <w:spacing w:after="60"/>
              <w:rPr>
                <w:rFonts w:ascii="Century Gothic" w:hAnsi="Century Gothic"/>
              </w:rPr>
            </w:pPr>
            <w:r w:rsidRPr="00A707F3">
              <w:rPr>
                <w:rFonts w:ascii="Century Gothic" w:hAnsi="Century Gothic"/>
                <w:b/>
                <w:bCs/>
                <w:color w:val="1F3864"/>
                <w:sz w:val="22"/>
                <w:szCs w:val="22"/>
              </w:rPr>
              <w:t>NIC recommends</w:t>
            </w:r>
          </w:p>
          <w:p w14:paraId="6D01D179" w14:textId="7C38E34B" w:rsidR="00A7045B" w:rsidRDefault="00C86539">
            <w:pPr>
              <w:spacing w:line="276" w:lineRule="auto"/>
              <w:rPr>
                <w:rFonts w:ascii="Century Gothic" w:hAnsi="Century Gothic"/>
                <w:sz w:val="22"/>
                <w:szCs w:val="22"/>
              </w:rPr>
            </w:pPr>
            <w:r w:rsidRPr="00A707F3">
              <w:rPr>
                <w:rFonts w:ascii="Century Gothic" w:hAnsi="Century Gothic"/>
                <w:sz w:val="22"/>
                <w:szCs w:val="22"/>
              </w:rPr>
              <w:t xml:space="preserve">The PC’s final report call for nationally consistent, public reporting requirements for </w:t>
            </w:r>
            <w:r w:rsidR="00B93EAE">
              <w:rPr>
                <w:rFonts w:ascii="Century Gothic" w:hAnsi="Century Gothic"/>
                <w:sz w:val="22"/>
                <w:szCs w:val="22"/>
              </w:rPr>
              <w:t xml:space="preserve">environmental water including </w:t>
            </w:r>
            <w:r w:rsidRPr="00A707F3">
              <w:rPr>
                <w:rFonts w:ascii="Century Gothic" w:hAnsi="Century Gothic"/>
                <w:sz w:val="22"/>
                <w:szCs w:val="22"/>
              </w:rPr>
              <w:t xml:space="preserve">planned and rules-based environmental water, </w:t>
            </w:r>
            <w:r w:rsidR="008A7008">
              <w:rPr>
                <w:rFonts w:ascii="Century Gothic" w:hAnsi="Century Gothic"/>
                <w:sz w:val="22"/>
                <w:szCs w:val="22"/>
              </w:rPr>
              <w:t>and held environmental water</w:t>
            </w:r>
            <w:r w:rsidRPr="00A707F3">
              <w:rPr>
                <w:rFonts w:ascii="Century Gothic" w:hAnsi="Century Gothic"/>
                <w:sz w:val="22"/>
                <w:szCs w:val="22"/>
              </w:rPr>
              <w:t xml:space="preserve">, so that </w:t>
            </w:r>
            <w:r w:rsidR="008A7008">
              <w:rPr>
                <w:rFonts w:ascii="Century Gothic" w:hAnsi="Century Gothic"/>
                <w:sz w:val="22"/>
                <w:szCs w:val="22"/>
              </w:rPr>
              <w:t>the full picture of water use for all users can be presented.</w:t>
            </w:r>
            <w:r w:rsidRPr="00A707F3">
              <w:rPr>
                <w:rFonts w:ascii="Century Gothic" w:hAnsi="Century Gothic"/>
                <w:sz w:val="22"/>
                <w:szCs w:val="22"/>
              </w:rPr>
              <w:t xml:space="preserve"> </w:t>
            </w:r>
          </w:p>
          <w:p w14:paraId="2BF7C5AC" w14:textId="3488BF0C" w:rsidR="00796EBC" w:rsidRPr="00A707F3" w:rsidRDefault="00796EBC">
            <w:pPr>
              <w:spacing w:line="276" w:lineRule="auto"/>
              <w:rPr>
                <w:rFonts w:ascii="Century Gothic" w:hAnsi="Century Gothic"/>
              </w:rPr>
            </w:pPr>
            <w:r>
              <w:rPr>
                <w:rFonts w:ascii="Century Gothic" w:hAnsi="Century Gothic"/>
                <w:sz w:val="22"/>
                <w:szCs w:val="22"/>
              </w:rPr>
              <w:t xml:space="preserve">The PC’s final report </w:t>
            </w:r>
            <w:r w:rsidR="008A7008">
              <w:rPr>
                <w:rFonts w:ascii="Century Gothic" w:hAnsi="Century Gothic"/>
                <w:sz w:val="22"/>
                <w:szCs w:val="22"/>
              </w:rPr>
              <w:t xml:space="preserve">should consider the </w:t>
            </w:r>
            <w:r w:rsidR="00615691">
              <w:rPr>
                <w:rFonts w:ascii="Century Gothic" w:hAnsi="Century Gothic"/>
                <w:sz w:val="22"/>
                <w:szCs w:val="22"/>
              </w:rPr>
              <w:t xml:space="preserve">suitability </w:t>
            </w:r>
            <w:r>
              <w:rPr>
                <w:rFonts w:ascii="Century Gothic" w:hAnsi="Century Gothic"/>
                <w:sz w:val="22"/>
                <w:szCs w:val="22"/>
              </w:rPr>
              <w:t xml:space="preserve">and effectiveness of the AS4747 national metering standards for non-urban water metering to </w:t>
            </w:r>
            <w:r w:rsidR="00EF552C">
              <w:rPr>
                <w:rFonts w:ascii="Century Gothic" w:hAnsi="Century Gothic"/>
                <w:sz w:val="22"/>
                <w:szCs w:val="22"/>
              </w:rPr>
              <w:t xml:space="preserve">seek to improve consistency and transparency of metering and measurement of rural water. </w:t>
            </w:r>
          </w:p>
        </w:tc>
      </w:tr>
    </w:tbl>
    <w:p w14:paraId="1E246E20" w14:textId="77777777" w:rsidR="00A7045B" w:rsidRPr="00615691" w:rsidRDefault="00C86539">
      <w:pPr>
        <w:pStyle w:val="Heading2"/>
        <w:spacing w:before="220" w:after="100"/>
        <w:rPr>
          <w:rFonts w:ascii="Century Gothic" w:hAnsi="Century Gothic"/>
        </w:rPr>
      </w:pPr>
      <w:r w:rsidRPr="00615691">
        <w:rPr>
          <w:rFonts w:ascii="Century Gothic" w:hAnsi="Century Gothic"/>
          <w:i/>
          <w:iCs/>
          <w:sz w:val="23"/>
          <w:szCs w:val="23"/>
        </w:rPr>
        <w:t>Knowledge and capacity building (section 9) and water interests of Aboriginal and Torres Strait Islander people (section 11)</w:t>
      </w:r>
    </w:p>
    <w:p w14:paraId="76A17480" w14:textId="77777777" w:rsidR="00A7045B" w:rsidRPr="00A707F3" w:rsidRDefault="00C86539">
      <w:pPr>
        <w:spacing w:after="160" w:line="276" w:lineRule="auto"/>
        <w:rPr>
          <w:rFonts w:ascii="Century Gothic" w:hAnsi="Century Gothic"/>
        </w:rPr>
      </w:pPr>
      <w:r w:rsidRPr="00A707F3">
        <w:rPr>
          <w:rFonts w:ascii="Century Gothic" w:hAnsi="Century Gothic"/>
          <w:sz w:val="22"/>
          <w:szCs w:val="22"/>
        </w:rPr>
        <w:t>NIC recognises the importance of Aboriginal and Torres Strait Islander peoples’ interests and values in water, and supports meaningful, well-resourced engagement with Aboriginal and Torres Strait Islander communities in water planning and management on a collaborative, not siloed, basis. Australian irrigators have long-standing partnerships with First Nations communities in many of the regions in which they operate, and NIC supports continued progress in this area.</w:t>
      </w:r>
    </w:p>
    <w:p w14:paraId="67F9F8B1" w14:textId="77777777" w:rsidR="00615691" w:rsidRDefault="00C94A30">
      <w:pPr>
        <w:spacing w:after="160" w:line="276" w:lineRule="auto"/>
        <w:rPr>
          <w:rFonts w:ascii="Century Gothic" w:hAnsi="Century Gothic"/>
          <w:sz w:val="22"/>
          <w:szCs w:val="22"/>
        </w:rPr>
      </w:pPr>
      <w:r w:rsidRPr="009353CF">
        <w:rPr>
          <w:rFonts w:ascii="Century Gothic" w:hAnsi="Century Gothic"/>
          <w:sz w:val="22"/>
          <w:szCs w:val="22"/>
        </w:rPr>
        <w:t>NIC acknowledges the range of participant views on this topic</w:t>
      </w:r>
      <w:r w:rsidR="009353CF">
        <w:rPr>
          <w:rFonts w:ascii="Century Gothic" w:hAnsi="Century Gothic"/>
          <w:sz w:val="22"/>
          <w:szCs w:val="22"/>
        </w:rPr>
        <w:t xml:space="preserve"> and </w:t>
      </w:r>
      <w:r w:rsidRPr="00A707F3">
        <w:rPr>
          <w:rFonts w:ascii="Century Gothic" w:hAnsi="Century Gothic"/>
          <w:sz w:val="22"/>
          <w:szCs w:val="22"/>
        </w:rPr>
        <w:t xml:space="preserve">many participants in this </w:t>
      </w:r>
      <w:r w:rsidR="00D74484" w:rsidRPr="00A707F3">
        <w:rPr>
          <w:rFonts w:ascii="Century Gothic" w:hAnsi="Century Gothic"/>
          <w:sz w:val="22"/>
          <w:szCs w:val="22"/>
        </w:rPr>
        <w:t>inquiry have</w:t>
      </w:r>
      <w:r w:rsidRPr="00A707F3">
        <w:rPr>
          <w:rFonts w:ascii="Century Gothic" w:hAnsi="Century Gothic"/>
          <w:sz w:val="22"/>
          <w:szCs w:val="22"/>
        </w:rPr>
        <w:t xml:space="preserve"> called for more substantial reform than NIC proposes below, including stronger, statutory cultural water objectives and a shift from advisory to shared-authority governance models. </w:t>
      </w:r>
    </w:p>
    <w:p w14:paraId="1A2B3C06" w14:textId="51DEB607" w:rsidR="00C94A30" w:rsidRPr="00A707F3" w:rsidRDefault="00C94A30">
      <w:pPr>
        <w:spacing w:after="160" w:line="276" w:lineRule="auto"/>
        <w:rPr>
          <w:rFonts w:ascii="Century Gothic" w:hAnsi="Century Gothic"/>
          <w:sz w:val="22"/>
          <w:szCs w:val="22"/>
        </w:rPr>
      </w:pPr>
      <w:r w:rsidRPr="00A707F3">
        <w:rPr>
          <w:rFonts w:ascii="Century Gothic" w:hAnsi="Century Gothic"/>
          <w:sz w:val="22"/>
          <w:szCs w:val="22"/>
        </w:rPr>
        <w:t xml:space="preserve">NIC’s comments below focus on the specific matters where, from an irrigator perspective, additional clarity, transparency or safeguards would help ensure any reform is durable and well </w:t>
      </w:r>
      <w:r w:rsidR="00D74484" w:rsidRPr="00A707F3">
        <w:rPr>
          <w:rFonts w:ascii="Century Gothic" w:hAnsi="Century Gothic"/>
          <w:sz w:val="22"/>
          <w:szCs w:val="22"/>
        </w:rPr>
        <w:t>understood and</w:t>
      </w:r>
      <w:r w:rsidRPr="00A707F3">
        <w:rPr>
          <w:rFonts w:ascii="Century Gothic" w:hAnsi="Century Gothic"/>
          <w:sz w:val="22"/>
          <w:szCs w:val="22"/>
        </w:rPr>
        <w:t xml:space="preserve"> does not create unintended consequences for existing water users </w:t>
      </w:r>
      <w:r w:rsidR="00A62F1E">
        <w:rPr>
          <w:rFonts w:ascii="Century Gothic" w:hAnsi="Century Gothic"/>
          <w:sz w:val="22"/>
          <w:szCs w:val="22"/>
        </w:rPr>
        <w:t xml:space="preserve">– </w:t>
      </w:r>
      <w:r w:rsidRPr="00A707F3">
        <w:rPr>
          <w:rFonts w:ascii="Century Gothic" w:hAnsi="Century Gothic"/>
          <w:sz w:val="22"/>
          <w:szCs w:val="22"/>
        </w:rPr>
        <w:t>First Nations and non-Indigenous alike.</w:t>
      </w:r>
    </w:p>
    <w:p w14:paraId="1C406151" w14:textId="7E6A2ABA" w:rsidR="00A7045B" w:rsidRPr="00A707F3" w:rsidRDefault="00C86539">
      <w:pPr>
        <w:spacing w:after="160" w:line="276" w:lineRule="auto"/>
        <w:rPr>
          <w:rFonts w:ascii="Century Gothic" w:hAnsi="Century Gothic"/>
        </w:rPr>
      </w:pPr>
      <w:r w:rsidRPr="00A707F3">
        <w:rPr>
          <w:rFonts w:ascii="Century Gothic" w:hAnsi="Century Gothic"/>
          <w:b/>
          <w:bCs/>
          <w:sz w:val="22"/>
          <w:szCs w:val="22"/>
        </w:rPr>
        <w:lastRenderedPageBreak/>
        <w:t xml:space="preserve">Accurately documenting the status quo: </w:t>
      </w:r>
      <w:r w:rsidRPr="00A707F3">
        <w:rPr>
          <w:rFonts w:ascii="Century Gothic" w:hAnsi="Century Gothic"/>
          <w:sz w:val="22"/>
          <w:szCs w:val="22"/>
        </w:rPr>
        <w:t>NIC is concerned that public consultation materials across current reform processes risk understating the existing legal and policy arrangements already in place for Aboriginal and Torres Strait Islander water interests. These include the NWI itself (clauses 25 and 52–54 on indigenous access and native title), the Water Act 2007 (Cth) (paragraph (fa) and Subdivision B(</w:t>
      </w:r>
      <w:proofErr w:type="gramStart"/>
      <w:r w:rsidRPr="00A707F3">
        <w:rPr>
          <w:rFonts w:ascii="Century Gothic" w:hAnsi="Century Gothic"/>
          <w:sz w:val="22"/>
          <w:szCs w:val="22"/>
        </w:rPr>
        <w:t>2)(</w:t>
      </w:r>
      <w:proofErr w:type="gramEnd"/>
      <w:r w:rsidRPr="00A707F3">
        <w:rPr>
          <w:rFonts w:ascii="Century Gothic" w:hAnsi="Century Gothic"/>
          <w:sz w:val="22"/>
          <w:szCs w:val="22"/>
        </w:rPr>
        <w:t xml:space="preserve">da) of the objects, and Part 14 of the Basin Plan on Indigenous values and uses), and state instruments such as the NSW Water Management Act 2000 (native title rights under Division 3, and Aboriginal cultural access licences, which receive a 100 </w:t>
      </w:r>
      <w:r w:rsidR="00AA3A0F">
        <w:rPr>
          <w:rFonts w:ascii="Century Gothic" w:hAnsi="Century Gothic"/>
          <w:sz w:val="22"/>
          <w:szCs w:val="22"/>
        </w:rPr>
        <w:t>percent</w:t>
      </w:r>
      <w:r w:rsidRPr="00A707F3">
        <w:rPr>
          <w:rFonts w:ascii="Century Gothic" w:hAnsi="Century Gothic"/>
          <w:sz w:val="22"/>
          <w:szCs w:val="22"/>
        </w:rPr>
        <w:t xml:space="preserve"> water allocation). NIC recommends the PC's final report comprehensively document these existing arrangements at both Commonwealth and state level, so that progress is assessed against an accurate baseline and the right problem is defined before further change is considered.</w:t>
      </w:r>
    </w:p>
    <w:p w14:paraId="6CE2133A" w14:textId="0049F3D3" w:rsidR="00A7045B" w:rsidRPr="00A707F3" w:rsidRDefault="00C86539">
      <w:pPr>
        <w:spacing w:after="160" w:line="276" w:lineRule="auto"/>
        <w:rPr>
          <w:rFonts w:ascii="Century Gothic" w:hAnsi="Century Gothic"/>
        </w:rPr>
      </w:pPr>
      <w:r w:rsidRPr="00A707F3">
        <w:rPr>
          <w:rFonts w:ascii="Century Gothic" w:hAnsi="Century Gothic"/>
          <w:b/>
          <w:bCs/>
          <w:sz w:val="22"/>
          <w:szCs w:val="22"/>
        </w:rPr>
        <w:t xml:space="preserve">Entitlement ownership statistics: </w:t>
      </w:r>
      <w:r w:rsidRPr="00A707F3">
        <w:rPr>
          <w:rFonts w:ascii="Century Gothic" w:hAnsi="Century Gothic"/>
          <w:sz w:val="22"/>
          <w:szCs w:val="22"/>
        </w:rPr>
        <w:t xml:space="preserve">NIC has queried the commonly cited statistic that Aboriginal and Torres Strait Islander people hold approximately 0.2 </w:t>
      </w:r>
      <w:r w:rsidR="00AA3A0F">
        <w:rPr>
          <w:rFonts w:ascii="Century Gothic" w:hAnsi="Century Gothic"/>
          <w:sz w:val="22"/>
          <w:szCs w:val="22"/>
        </w:rPr>
        <w:t>percent</w:t>
      </w:r>
      <w:r w:rsidRPr="00A707F3">
        <w:rPr>
          <w:rFonts w:ascii="Century Gothic" w:hAnsi="Century Gothic"/>
          <w:sz w:val="22"/>
          <w:szCs w:val="22"/>
        </w:rPr>
        <w:t xml:space="preserve"> of Australian water entitlements. By its own stated methodology, this figure excludes native title rights, water held for multiple purposes (including by environmental water holders), planned environmental water, and temporary trade. NIC recommends the PC fact-check and, if used, appropriately contextualise this and similar statistics in its final report, and cautions against treating the proportion of water entitlement ownership as the primary indicator of progress in this area, given the diversity of cultural, social, economic and environmental objectives First Nations peoples have identified.</w:t>
      </w:r>
    </w:p>
    <w:p w14:paraId="37E6FF4E" w14:textId="1BADC1E0" w:rsidR="00A7045B" w:rsidRPr="00A707F3" w:rsidRDefault="00C86539">
      <w:pPr>
        <w:spacing w:after="160" w:line="276" w:lineRule="auto"/>
        <w:rPr>
          <w:rFonts w:ascii="Century Gothic" w:hAnsi="Century Gothic"/>
        </w:rPr>
      </w:pPr>
      <w:r w:rsidRPr="00A707F3">
        <w:rPr>
          <w:rFonts w:ascii="Century Gothic" w:hAnsi="Century Gothic"/>
          <w:b/>
          <w:bCs/>
          <w:sz w:val="22"/>
          <w:szCs w:val="22"/>
        </w:rPr>
        <w:t xml:space="preserve">Interaction with existing entitlement frameworks: </w:t>
      </w:r>
      <w:r w:rsidRPr="00A707F3">
        <w:rPr>
          <w:rFonts w:ascii="Century Gothic" w:hAnsi="Century Gothic"/>
          <w:sz w:val="22"/>
          <w:szCs w:val="22"/>
        </w:rPr>
        <w:t>any increase in Aboriginal and Torres Strait Islander water holdings, and associated governance changes, should occur in ways that do not erode the</w:t>
      </w:r>
      <w:r w:rsidR="00F83457">
        <w:rPr>
          <w:rFonts w:ascii="Century Gothic" w:hAnsi="Century Gothic"/>
          <w:sz w:val="22"/>
          <w:szCs w:val="22"/>
        </w:rPr>
        <w:t xml:space="preserve"> foundations of the water management system, particularly the</w:t>
      </w:r>
      <w:r w:rsidRPr="00A707F3">
        <w:rPr>
          <w:rFonts w:ascii="Century Gothic" w:hAnsi="Century Gothic"/>
          <w:sz w:val="22"/>
          <w:szCs w:val="22"/>
        </w:rPr>
        <w:t xml:space="preserve"> reliability or value of existing entitlements held by other users, consistent with the NWI's foundational risk assignment and property right principles. In already highly allocated systems such as the </w:t>
      </w:r>
      <w:r w:rsidR="00F83457">
        <w:rPr>
          <w:rFonts w:ascii="Century Gothic" w:hAnsi="Century Gothic"/>
          <w:sz w:val="22"/>
          <w:szCs w:val="22"/>
        </w:rPr>
        <w:t>MDB</w:t>
      </w:r>
      <w:r w:rsidRPr="00A707F3">
        <w:rPr>
          <w:rFonts w:ascii="Century Gothic" w:hAnsi="Century Gothic"/>
          <w:sz w:val="22"/>
          <w:szCs w:val="22"/>
        </w:rPr>
        <w:t xml:space="preserve">, options for increasing Indigenous water access need particular care to avoid undermining existing rights. NIC supports the Aboriginal Water Entitlements Program's stated principle that entitlements purchased through the program remain in the consumptive pool with unchanged </w:t>
      </w:r>
      <w:r w:rsidR="00D74484" w:rsidRPr="00A707F3">
        <w:rPr>
          <w:rFonts w:ascii="Century Gothic" w:hAnsi="Century Gothic"/>
          <w:sz w:val="22"/>
          <w:szCs w:val="22"/>
        </w:rPr>
        <w:t>characteristics and</w:t>
      </w:r>
      <w:r w:rsidRPr="00A707F3">
        <w:rPr>
          <w:rFonts w:ascii="Century Gothic" w:hAnsi="Century Gothic"/>
          <w:sz w:val="22"/>
          <w:szCs w:val="22"/>
        </w:rPr>
        <w:t xml:space="preserve"> considers this a key safeguard for the integrity of the entitlement framework.</w:t>
      </w:r>
    </w:p>
    <w:p w14:paraId="33DD2529" w14:textId="7A6E51B0" w:rsidR="00A7045B" w:rsidRPr="00A707F3" w:rsidRDefault="00C86539">
      <w:pPr>
        <w:spacing w:after="160" w:line="276" w:lineRule="auto"/>
        <w:rPr>
          <w:rFonts w:ascii="Century Gothic" w:hAnsi="Century Gothic"/>
        </w:rPr>
      </w:pPr>
      <w:r w:rsidRPr="00A707F3">
        <w:rPr>
          <w:rFonts w:ascii="Century Gothic" w:hAnsi="Century Gothic"/>
          <w:b/>
          <w:bCs/>
          <w:sz w:val="22"/>
          <w:szCs w:val="22"/>
        </w:rPr>
        <w:t xml:space="preserve">Free, prior and informed consent (FPIC): </w:t>
      </w:r>
      <w:r w:rsidRPr="00A707F3">
        <w:rPr>
          <w:rFonts w:ascii="Century Gothic" w:hAnsi="Century Gothic"/>
          <w:sz w:val="22"/>
          <w:szCs w:val="22"/>
        </w:rPr>
        <w:t>NIC supports meaningful consultation with Aboriginal and Torres Strait Islander communities but continues to seek clarity that FPIC and related consent-based principles are not interpreted as conferring a veto over water planning decisions for any one stakeholder group. Terms such as ‘consent’, ‘self-determination’, ‘authority’ and ‘living entity’ carry specific and varying meanings in this context that differ from common usage, and NIC recommends the PC's final report call for these terms to be clearly and practically defined wherever they are used in water policy instruments, so that all stakeholders share the same understanding of what is being proposed and agreed</w:t>
      </w:r>
      <w:r w:rsidR="00C03A60">
        <w:rPr>
          <w:rFonts w:ascii="Century Gothic" w:hAnsi="Century Gothic"/>
          <w:sz w:val="22"/>
          <w:szCs w:val="22"/>
        </w:rPr>
        <w:t xml:space="preserve"> across a range of portfolios, not just water.</w:t>
      </w:r>
      <w:r w:rsidR="00161B4D">
        <w:rPr>
          <w:rFonts w:ascii="Century Gothic" w:hAnsi="Century Gothic"/>
          <w:sz w:val="22"/>
          <w:szCs w:val="22"/>
        </w:rPr>
        <w:t xml:space="preserve">  This has also been requested of the Water Act Review.</w:t>
      </w:r>
    </w:p>
    <w:p w14:paraId="56FBFBE7" w14:textId="2DDD91B9" w:rsidR="00A7045B" w:rsidRPr="00A707F3" w:rsidRDefault="00C86539">
      <w:pPr>
        <w:spacing w:after="160" w:line="276" w:lineRule="auto"/>
        <w:rPr>
          <w:rFonts w:ascii="Century Gothic" w:hAnsi="Century Gothic"/>
        </w:rPr>
      </w:pPr>
      <w:r w:rsidRPr="00A707F3">
        <w:rPr>
          <w:rFonts w:ascii="Century Gothic" w:hAnsi="Century Gothic"/>
          <w:b/>
          <w:bCs/>
          <w:sz w:val="22"/>
          <w:szCs w:val="22"/>
        </w:rPr>
        <w:t xml:space="preserve">Recognising synergies with socio-economic outcomes: </w:t>
      </w:r>
      <w:r w:rsidRPr="00A707F3">
        <w:rPr>
          <w:rFonts w:ascii="Century Gothic" w:hAnsi="Century Gothic"/>
          <w:sz w:val="22"/>
          <w:szCs w:val="22"/>
        </w:rPr>
        <w:t xml:space="preserve">rural and regional communities with significant Aboriginal populations can be materially affected by reductions in consumptive water use for example, Bourke Shire Council has reported that up to 60 </w:t>
      </w:r>
      <w:r w:rsidR="00AA3A0F">
        <w:rPr>
          <w:rFonts w:ascii="Century Gothic" w:hAnsi="Century Gothic"/>
          <w:sz w:val="22"/>
          <w:szCs w:val="22"/>
        </w:rPr>
        <w:t>percent</w:t>
      </w:r>
      <w:r w:rsidRPr="00A707F3">
        <w:rPr>
          <w:rFonts w:ascii="Century Gothic" w:hAnsi="Century Gothic"/>
          <w:sz w:val="22"/>
          <w:szCs w:val="22"/>
        </w:rPr>
        <w:t xml:space="preserve"> of its local economy was impacted by the implementation of surface water diversion caps, with a further 10 </w:t>
      </w:r>
      <w:r w:rsidR="00AA3A0F">
        <w:rPr>
          <w:rFonts w:ascii="Century Gothic" w:hAnsi="Century Gothic"/>
          <w:sz w:val="22"/>
          <w:szCs w:val="22"/>
        </w:rPr>
        <w:t>percent</w:t>
      </w:r>
      <w:r w:rsidRPr="00A707F3">
        <w:rPr>
          <w:rFonts w:ascii="Century Gothic" w:hAnsi="Century Gothic"/>
          <w:sz w:val="22"/>
          <w:szCs w:val="22"/>
        </w:rPr>
        <w:t xml:space="preserve"> affected by water buybacks. NIC recommends </w:t>
      </w:r>
      <w:r w:rsidRPr="00A707F3">
        <w:rPr>
          <w:rFonts w:ascii="Century Gothic" w:hAnsi="Century Gothic"/>
          <w:sz w:val="22"/>
          <w:szCs w:val="22"/>
        </w:rPr>
        <w:lastRenderedPageBreak/>
        <w:t>the PC's final report recognise that further reductions in the consumptive pool can compound, rather than relieve, disadvantage in communities with large Indigenous populations, and that the social and economic role of irrigated agriculture should be considered alongside cultural water objectives, not in place of them.</w:t>
      </w:r>
    </w:p>
    <w:p w14:paraId="23F946F5" w14:textId="77777777" w:rsidR="00A7045B" w:rsidRPr="00161B4D" w:rsidRDefault="00C86539">
      <w:pPr>
        <w:pStyle w:val="Heading1"/>
        <w:spacing w:before="280" w:after="140"/>
        <w:rPr>
          <w:rFonts w:ascii="Century Gothic" w:hAnsi="Century Gothic"/>
        </w:rPr>
      </w:pPr>
      <w:r w:rsidRPr="00161B4D">
        <w:rPr>
          <w:rFonts w:ascii="Century Gothic" w:hAnsi="Century Gothic"/>
          <w:color w:val="1F3864"/>
          <w:sz w:val="26"/>
          <w:szCs w:val="26"/>
        </w:rPr>
        <w:t>Other matters relevant to this assessment</w:t>
      </w:r>
    </w:p>
    <w:p w14:paraId="2D23DCAD" w14:textId="77777777" w:rsidR="00A7045B" w:rsidRPr="00161B4D" w:rsidRDefault="00C86539">
      <w:pPr>
        <w:pStyle w:val="Heading2"/>
        <w:spacing w:before="220" w:after="100"/>
        <w:rPr>
          <w:rFonts w:ascii="Century Gothic" w:hAnsi="Century Gothic"/>
        </w:rPr>
      </w:pPr>
      <w:r w:rsidRPr="00161B4D">
        <w:rPr>
          <w:rFonts w:ascii="Century Gothic" w:hAnsi="Century Gothic"/>
          <w:i/>
          <w:iCs/>
          <w:sz w:val="23"/>
          <w:szCs w:val="23"/>
        </w:rPr>
        <w:t>Water pricing and the financial sustainability of water services</w:t>
      </w:r>
    </w:p>
    <w:p w14:paraId="53D5B11D" w14:textId="40C3B8EB" w:rsidR="00A7045B" w:rsidRPr="00A707F3" w:rsidRDefault="00C86539">
      <w:pPr>
        <w:spacing w:after="160" w:line="276" w:lineRule="auto"/>
        <w:rPr>
          <w:rFonts w:ascii="Century Gothic" w:hAnsi="Century Gothic"/>
        </w:rPr>
      </w:pPr>
      <w:r w:rsidRPr="00A707F3">
        <w:rPr>
          <w:rFonts w:ascii="Century Gothic" w:hAnsi="Century Gothic"/>
          <w:sz w:val="22"/>
          <w:szCs w:val="22"/>
        </w:rPr>
        <w:t>NIC is concerned that the interim update, focused on the NWI’s original best-practice pricing and institutional arrangements element, does not fully capture what NIC considers an emerging crisis in the financial sustainability of rural water pricing</w:t>
      </w:r>
      <w:r w:rsidR="005A58E8">
        <w:rPr>
          <w:rFonts w:ascii="Century Gothic" w:hAnsi="Century Gothic"/>
          <w:sz w:val="22"/>
          <w:szCs w:val="22"/>
        </w:rPr>
        <w:t xml:space="preserve"> and long-term sustainability of shared delivery infrastructure</w:t>
      </w:r>
      <w:r w:rsidRPr="00A707F3">
        <w:rPr>
          <w:rFonts w:ascii="Century Gothic" w:hAnsi="Century Gothic"/>
          <w:sz w:val="22"/>
          <w:szCs w:val="22"/>
        </w:rPr>
        <w:t>. As detailed in our May 2026 submission, current cost-recovery and pricing models are approaching a tipping point: the volume of water used for consumptive purposes continues to decline, the reliability of that water is declining, and the capacity of the remaining customer base to absorb rising costs is falling – while the range of public-interest activities water businesses are expected to fund (environmental flow management, water quality monitoring, flood mitigation and compliance) continues to grow. NIC does not consider the current user-pays model, calibrated to a ‘world without high consumptive use’, fit for purpose going forward. NIC’s concern here relates specifically to the sustainability of rural and bulk water pricing and cost-recovery arrangements, not to household affordability protections. NIC’s recommendations are not in tension with, and do not seek to displace, the consumer protection and affordability measures sought by</w:t>
      </w:r>
      <w:r w:rsidR="000D7F77">
        <w:rPr>
          <w:rFonts w:ascii="Century Gothic" w:hAnsi="Century Gothic"/>
          <w:sz w:val="22"/>
          <w:szCs w:val="22"/>
        </w:rPr>
        <w:t xml:space="preserve"> others</w:t>
      </w:r>
      <w:r w:rsidRPr="00A707F3">
        <w:rPr>
          <w:rFonts w:ascii="Century Gothic" w:hAnsi="Century Gothic"/>
          <w:sz w:val="22"/>
          <w:szCs w:val="22"/>
        </w:rPr>
        <w:t xml:space="preserve"> rather, NIC considers greater public investment is needed precisely because the current model cannot sustainably fund both purposes from an increasingly narrow consumptive customer base.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96"/>
      </w:tblGrid>
      <w:tr w:rsidR="00A7045B" w:rsidRPr="00A707F3" w14:paraId="2EC0A4C8" w14:textId="77777777">
        <w:tc>
          <w:tcPr>
            <w:tcW w:w="9350" w:type="dxa"/>
            <w:shd w:val="clear" w:color="auto" w:fill="EAF1F8"/>
            <w:tcMar>
              <w:top w:w="120" w:type="dxa"/>
              <w:left w:w="160" w:type="dxa"/>
              <w:bottom w:w="120" w:type="dxa"/>
              <w:right w:w="160" w:type="dxa"/>
            </w:tcMar>
          </w:tcPr>
          <w:p w14:paraId="47F87E53" w14:textId="77777777" w:rsidR="00A7045B" w:rsidRPr="00A707F3" w:rsidRDefault="00C86539">
            <w:pPr>
              <w:spacing w:after="60"/>
              <w:rPr>
                <w:rFonts w:ascii="Century Gothic" w:hAnsi="Century Gothic"/>
              </w:rPr>
            </w:pPr>
            <w:r w:rsidRPr="00A707F3">
              <w:rPr>
                <w:rFonts w:ascii="Century Gothic" w:hAnsi="Century Gothic"/>
                <w:b/>
                <w:bCs/>
                <w:color w:val="1F3864"/>
                <w:sz w:val="22"/>
                <w:szCs w:val="22"/>
              </w:rPr>
              <w:t>NIC recommends</w:t>
            </w:r>
          </w:p>
          <w:p w14:paraId="2313195C" w14:textId="5379D563" w:rsidR="00A7045B" w:rsidRPr="00A707F3" w:rsidRDefault="00C86539">
            <w:pPr>
              <w:spacing w:line="276" w:lineRule="auto"/>
              <w:rPr>
                <w:rFonts w:ascii="Century Gothic" w:hAnsi="Century Gothic"/>
              </w:rPr>
            </w:pPr>
            <w:r w:rsidRPr="00A707F3">
              <w:rPr>
                <w:rFonts w:ascii="Century Gothic" w:hAnsi="Century Gothic"/>
                <w:sz w:val="22"/>
                <w:szCs w:val="22"/>
              </w:rPr>
              <w:t xml:space="preserve">The PC’s final report call for a dedicated review of NWI/NWA </w:t>
            </w:r>
            <w:r w:rsidR="0083167B">
              <w:rPr>
                <w:rFonts w:ascii="Century Gothic" w:hAnsi="Century Gothic"/>
                <w:sz w:val="22"/>
                <w:szCs w:val="22"/>
              </w:rPr>
              <w:t xml:space="preserve">rural </w:t>
            </w:r>
            <w:r w:rsidRPr="00A707F3">
              <w:rPr>
                <w:rFonts w:ascii="Century Gothic" w:hAnsi="Century Gothic"/>
                <w:sz w:val="22"/>
                <w:szCs w:val="22"/>
              </w:rPr>
              <w:t>pricing principles, alongside consideration of a greater role for public investment in recognition of the public-interest outcomes water infrastructure and management now deliver.</w:t>
            </w:r>
          </w:p>
        </w:tc>
      </w:tr>
    </w:tbl>
    <w:p w14:paraId="2F7E55A3" w14:textId="77777777" w:rsidR="00A7045B" w:rsidRPr="00DB2F9B" w:rsidRDefault="00C86539">
      <w:pPr>
        <w:pStyle w:val="Heading2"/>
        <w:spacing w:before="220" w:after="100"/>
        <w:rPr>
          <w:rFonts w:ascii="Century Gothic" w:hAnsi="Century Gothic"/>
        </w:rPr>
      </w:pPr>
      <w:r w:rsidRPr="00DB2F9B">
        <w:rPr>
          <w:rFonts w:ascii="Century Gothic" w:hAnsi="Century Gothic"/>
          <w:i/>
          <w:iCs/>
          <w:sz w:val="23"/>
          <w:szCs w:val="23"/>
        </w:rPr>
        <w:t>Rural water infrastructure investment</w:t>
      </w:r>
    </w:p>
    <w:p w14:paraId="1CA824E9" w14:textId="77777777" w:rsidR="00A7045B" w:rsidRPr="00A707F3" w:rsidRDefault="00C86539">
      <w:pPr>
        <w:spacing w:after="160" w:line="276" w:lineRule="auto"/>
        <w:rPr>
          <w:rFonts w:ascii="Century Gothic" w:hAnsi="Century Gothic"/>
        </w:rPr>
      </w:pPr>
      <w:r w:rsidRPr="00A707F3">
        <w:rPr>
          <w:rFonts w:ascii="Century Gothic" w:hAnsi="Century Gothic"/>
          <w:sz w:val="22"/>
          <w:szCs w:val="22"/>
        </w:rPr>
        <w:t>NIC shares the concerns, echoed elsewhere in the interim update and in the MDBA’s Basin Plan Review discussion paper, regarding the ageing condition of rural water infrastructure and the adequacy of current investment to sustain it. Underinvestment poses risks not only to water security for agriculture and critical human water needs, but to environmental water delivery and public safety. NIC recommends the final report give this matter a higher priority in its recommendations to Government than further water recovery activity.</w:t>
      </w:r>
    </w:p>
    <w:p w14:paraId="799CB830" w14:textId="77777777" w:rsidR="00A7045B" w:rsidRPr="00DB2F9B" w:rsidRDefault="00C86539">
      <w:pPr>
        <w:pStyle w:val="Heading2"/>
        <w:spacing w:before="220" w:after="100"/>
        <w:rPr>
          <w:rFonts w:ascii="Century Gothic" w:hAnsi="Century Gothic"/>
        </w:rPr>
      </w:pPr>
      <w:r w:rsidRPr="00DB2F9B">
        <w:rPr>
          <w:rFonts w:ascii="Century Gothic" w:hAnsi="Century Gothic"/>
          <w:i/>
          <w:iCs/>
          <w:sz w:val="23"/>
          <w:szCs w:val="23"/>
        </w:rPr>
        <w:t>Integrity of the water property right and risk assignment framework</w:t>
      </w:r>
    </w:p>
    <w:p w14:paraId="0C52F676" w14:textId="66C5BBFD" w:rsidR="00A7045B" w:rsidRPr="00A707F3" w:rsidRDefault="00C86539">
      <w:pPr>
        <w:spacing w:after="160" w:line="276" w:lineRule="auto"/>
        <w:rPr>
          <w:rFonts w:ascii="Century Gothic" w:hAnsi="Century Gothic"/>
        </w:rPr>
      </w:pPr>
      <w:r w:rsidRPr="00A707F3">
        <w:rPr>
          <w:rFonts w:ascii="Century Gothic" w:hAnsi="Century Gothic"/>
          <w:sz w:val="22"/>
          <w:szCs w:val="22"/>
        </w:rPr>
        <w:t xml:space="preserve">Finally, NIC reiterates – as cited in the interim update itself – our concern that some jurisdictions are using rules-based changes as a de facto form of water recovery, without the consent, compensation or transparency that the NWI’s risk assignment framework requires. </w:t>
      </w:r>
    </w:p>
    <w:p w14:paraId="61F51B67" w14:textId="77777777" w:rsidR="00A7045B" w:rsidRPr="00DB2F9B" w:rsidRDefault="00C86539">
      <w:pPr>
        <w:pStyle w:val="Heading1"/>
        <w:spacing w:before="280" w:after="140"/>
        <w:rPr>
          <w:rFonts w:ascii="Century Gothic" w:hAnsi="Century Gothic"/>
        </w:rPr>
      </w:pPr>
      <w:r w:rsidRPr="00DB2F9B">
        <w:rPr>
          <w:rFonts w:ascii="Century Gothic" w:hAnsi="Century Gothic"/>
          <w:color w:val="1F3864"/>
          <w:sz w:val="26"/>
          <w:szCs w:val="26"/>
        </w:rPr>
        <w:t>Conclusion</w:t>
      </w:r>
    </w:p>
    <w:p w14:paraId="115BB11C" w14:textId="18677665" w:rsidR="008966B7" w:rsidRDefault="008966B7">
      <w:pPr>
        <w:spacing w:after="160" w:line="276" w:lineRule="auto"/>
        <w:rPr>
          <w:rFonts w:ascii="Century Gothic" w:hAnsi="Century Gothic"/>
          <w:sz w:val="22"/>
          <w:szCs w:val="22"/>
        </w:rPr>
      </w:pPr>
      <w:r>
        <w:rPr>
          <w:rFonts w:ascii="Century Gothic" w:hAnsi="Century Gothic"/>
          <w:sz w:val="22"/>
          <w:szCs w:val="22"/>
        </w:rPr>
        <w:lastRenderedPageBreak/>
        <w:t xml:space="preserve">NIC </w:t>
      </w:r>
      <w:r w:rsidR="001F531B">
        <w:rPr>
          <w:rFonts w:ascii="Century Gothic" w:hAnsi="Century Gothic"/>
          <w:sz w:val="22"/>
          <w:szCs w:val="22"/>
        </w:rPr>
        <w:t>thanks the PC for</w:t>
      </w:r>
      <w:r>
        <w:rPr>
          <w:rFonts w:ascii="Century Gothic" w:hAnsi="Century Gothic"/>
          <w:sz w:val="22"/>
          <w:szCs w:val="22"/>
        </w:rPr>
        <w:t xml:space="preserve"> the opportunity to provide </w:t>
      </w:r>
      <w:r w:rsidR="00C86539" w:rsidRPr="00A707F3">
        <w:rPr>
          <w:rFonts w:ascii="Century Gothic" w:hAnsi="Century Gothic"/>
          <w:sz w:val="22"/>
          <w:szCs w:val="22"/>
        </w:rPr>
        <w:t>this initial response to the interim update</w:t>
      </w:r>
      <w:r>
        <w:rPr>
          <w:rFonts w:ascii="Century Gothic" w:hAnsi="Century Gothic"/>
          <w:sz w:val="22"/>
          <w:szCs w:val="22"/>
        </w:rPr>
        <w:t>.</w:t>
      </w:r>
    </w:p>
    <w:p w14:paraId="4D4B00F2" w14:textId="61034171" w:rsidR="008966B7" w:rsidRPr="00A707F3" w:rsidRDefault="008966B7" w:rsidP="008966B7">
      <w:pPr>
        <w:spacing w:after="160" w:line="276" w:lineRule="auto"/>
        <w:rPr>
          <w:rFonts w:ascii="Century Gothic" w:hAnsi="Century Gothic"/>
        </w:rPr>
      </w:pPr>
      <w:r w:rsidRPr="00A707F3">
        <w:rPr>
          <w:rFonts w:ascii="Century Gothic" w:hAnsi="Century Gothic"/>
          <w:sz w:val="22"/>
          <w:szCs w:val="22"/>
        </w:rPr>
        <w:t>This response should be read alongside NIC’s earlier submission</w:t>
      </w:r>
      <w:r w:rsidR="00353490">
        <w:rPr>
          <w:rFonts w:ascii="Century Gothic" w:hAnsi="Century Gothic"/>
          <w:sz w:val="22"/>
          <w:szCs w:val="22"/>
        </w:rPr>
        <w:t>.</w:t>
      </w:r>
    </w:p>
    <w:p w14:paraId="13292107" w14:textId="25DAAFD8" w:rsidR="00A7045B" w:rsidRPr="00A707F3" w:rsidRDefault="00353490">
      <w:pPr>
        <w:spacing w:after="160" w:line="276" w:lineRule="auto"/>
        <w:rPr>
          <w:rFonts w:ascii="Century Gothic" w:hAnsi="Century Gothic"/>
        </w:rPr>
      </w:pPr>
      <w:r>
        <w:rPr>
          <w:rFonts w:ascii="Century Gothic" w:hAnsi="Century Gothic"/>
          <w:sz w:val="22"/>
          <w:szCs w:val="22"/>
        </w:rPr>
        <w:t>We</w:t>
      </w:r>
      <w:r w:rsidR="00C86539" w:rsidRPr="00A707F3">
        <w:rPr>
          <w:rFonts w:ascii="Century Gothic" w:hAnsi="Century Gothic"/>
          <w:sz w:val="22"/>
          <w:szCs w:val="22"/>
        </w:rPr>
        <w:t xml:space="preserve"> welcome the opportunity to discuss any of the above further. Given the compressed consultation timeframe, we may provide additional or supplementary evidence to support these points ahead of the PC’s final report.</w:t>
      </w:r>
    </w:p>
    <w:p w14:paraId="2BE4BE85" w14:textId="77777777" w:rsidR="00A7045B" w:rsidRPr="00A707F3" w:rsidRDefault="00A7045B">
      <w:pPr>
        <w:spacing w:after="160"/>
        <w:rPr>
          <w:rFonts w:ascii="Century Gothic" w:hAnsi="Century Gothic"/>
        </w:rPr>
      </w:pPr>
    </w:p>
    <w:p w14:paraId="016DB7E8" w14:textId="77777777" w:rsidR="00A7045B" w:rsidRPr="00A707F3" w:rsidRDefault="00C86539">
      <w:pPr>
        <w:spacing w:after="160" w:line="276" w:lineRule="auto"/>
        <w:rPr>
          <w:rFonts w:ascii="Century Gothic" w:hAnsi="Century Gothic"/>
        </w:rPr>
      </w:pPr>
      <w:r w:rsidRPr="00A707F3">
        <w:rPr>
          <w:rFonts w:ascii="Century Gothic" w:hAnsi="Century Gothic"/>
          <w:sz w:val="22"/>
          <w:szCs w:val="22"/>
        </w:rPr>
        <w:t>Kind regards,</w:t>
      </w:r>
    </w:p>
    <w:p w14:paraId="6934EC9C" w14:textId="77777777" w:rsidR="00A7045B" w:rsidRPr="00A707F3" w:rsidRDefault="00A7045B">
      <w:pPr>
        <w:spacing w:after="160"/>
        <w:rPr>
          <w:rFonts w:ascii="Century Gothic" w:hAnsi="Century Gothic"/>
        </w:rPr>
      </w:pPr>
    </w:p>
    <w:p w14:paraId="2E6618C1" w14:textId="77777777" w:rsidR="00A7045B" w:rsidRPr="00DB2F9B" w:rsidRDefault="00C86539" w:rsidP="00862B0E">
      <w:pPr>
        <w:spacing w:line="276" w:lineRule="auto"/>
        <w:rPr>
          <w:rFonts w:ascii="Century Gothic" w:hAnsi="Century Gothic"/>
        </w:rPr>
      </w:pPr>
      <w:r w:rsidRPr="00DB2F9B">
        <w:rPr>
          <w:rFonts w:ascii="Century Gothic" w:hAnsi="Century Gothic"/>
          <w:sz w:val="22"/>
          <w:szCs w:val="22"/>
        </w:rPr>
        <w:t>Zara Lowien</w:t>
      </w:r>
    </w:p>
    <w:p w14:paraId="1DD081A0" w14:textId="77777777" w:rsidR="00A7045B" w:rsidRPr="00DB2F9B" w:rsidRDefault="00C86539" w:rsidP="00862B0E">
      <w:pPr>
        <w:spacing w:line="276" w:lineRule="auto"/>
        <w:rPr>
          <w:rFonts w:ascii="Century Gothic" w:hAnsi="Century Gothic"/>
        </w:rPr>
      </w:pPr>
      <w:r w:rsidRPr="00DB2F9B">
        <w:rPr>
          <w:rFonts w:ascii="Century Gothic" w:hAnsi="Century Gothic"/>
          <w:sz w:val="22"/>
          <w:szCs w:val="22"/>
        </w:rPr>
        <w:t>Chief Executive Officer</w:t>
      </w:r>
    </w:p>
    <w:p w14:paraId="6309A4F9" w14:textId="77777777" w:rsidR="00A7045B" w:rsidRDefault="00C86539" w:rsidP="00862B0E">
      <w:pPr>
        <w:spacing w:line="276" w:lineRule="auto"/>
        <w:rPr>
          <w:rFonts w:ascii="Century Gothic" w:hAnsi="Century Gothic"/>
          <w:sz w:val="22"/>
          <w:szCs w:val="22"/>
        </w:rPr>
      </w:pPr>
      <w:r w:rsidRPr="00DB2F9B">
        <w:rPr>
          <w:rFonts w:ascii="Century Gothic" w:hAnsi="Century Gothic"/>
          <w:sz w:val="22"/>
          <w:szCs w:val="22"/>
        </w:rPr>
        <w:t>National Irrigators’ Council</w:t>
      </w:r>
    </w:p>
    <w:p w14:paraId="16BD4600" w14:textId="77777777" w:rsidR="00DB2F9B" w:rsidRPr="00DB2F9B" w:rsidRDefault="00DB2F9B" w:rsidP="00DB2F9B">
      <w:pPr>
        <w:rPr>
          <w:rFonts w:ascii="Century Gothic" w:hAnsi="Century Gothic"/>
        </w:rPr>
      </w:pPr>
    </w:p>
    <w:p w14:paraId="2312417F" w14:textId="77777777" w:rsidR="00DB2F9B" w:rsidRPr="00DB2F9B" w:rsidRDefault="00DB2F9B" w:rsidP="00DB2F9B">
      <w:pPr>
        <w:rPr>
          <w:rFonts w:ascii="Century Gothic" w:hAnsi="Century Gothic"/>
        </w:rPr>
      </w:pPr>
    </w:p>
    <w:p w14:paraId="3311D368" w14:textId="77777777" w:rsidR="00DB2F9B" w:rsidRPr="00DB2F9B" w:rsidRDefault="00DB2F9B" w:rsidP="00DB2F9B">
      <w:pPr>
        <w:rPr>
          <w:rFonts w:ascii="Century Gothic" w:hAnsi="Century Gothic"/>
        </w:rPr>
      </w:pPr>
    </w:p>
    <w:p w14:paraId="5C201EC7" w14:textId="77777777" w:rsidR="00DB2F9B" w:rsidRPr="00DB2F9B" w:rsidRDefault="00DB2F9B" w:rsidP="00DB2F9B">
      <w:pPr>
        <w:rPr>
          <w:rFonts w:ascii="Century Gothic" w:hAnsi="Century Gothic"/>
        </w:rPr>
      </w:pPr>
    </w:p>
    <w:p w14:paraId="3D2A2C01" w14:textId="77777777" w:rsidR="00DB2F9B" w:rsidRPr="00DB2F9B" w:rsidRDefault="00DB2F9B" w:rsidP="00DB2F9B">
      <w:pPr>
        <w:rPr>
          <w:rFonts w:ascii="Century Gothic" w:hAnsi="Century Gothic"/>
        </w:rPr>
      </w:pPr>
    </w:p>
    <w:p w14:paraId="5B4912D6" w14:textId="77777777" w:rsidR="00DB2F9B" w:rsidRPr="00DB2F9B" w:rsidRDefault="00DB2F9B" w:rsidP="00DB2F9B">
      <w:pPr>
        <w:rPr>
          <w:rFonts w:ascii="Century Gothic" w:hAnsi="Century Gothic"/>
        </w:rPr>
      </w:pPr>
    </w:p>
    <w:p w14:paraId="31A96AAF" w14:textId="77777777" w:rsidR="00DB2F9B" w:rsidRPr="00DB2F9B" w:rsidRDefault="00DB2F9B" w:rsidP="00DB2F9B">
      <w:pPr>
        <w:rPr>
          <w:rFonts w:ascii="Century Gothic" w:hAnsi="Century Gothic"/>
        </w:rPr>
      </w:pPr>
    </w:p>
    <w:p w14:paraId="67DD896D" w14:textId="77777777" w:rsidR="00DB2F9B" w:rsidRPr="00DB2F9B" w:rsidRDefault="00DB2F9B" w:rsidP="00DB2F9B">
      <w:pPr>
        <w:rPr>
          <w:rFonts w:ascii="Century Gothic" w:hAnsi="Century Gothic"/>
        </w:rPr>
      </w:pPr>
    </w:p>
    <w:p w14:paraId="1E0064C1" w14:textId="77777777" w:rsidR="00DB2F9B" w:rsidRPr="00DB2F9B" w:rsidRDefault="00DB2F9B" w:rsidP="00DB2F9B">
      <w:pPr>
        <w:rPr>
          <w:rFonts w:ascii="Century Gothic" w:hAnsi="Century Gothic"/>
        </w:rPr>
      </w:pPr>
    </w:p>
    <w:p w14:paraId="1F2089F0" w14:textId="77777777" w:rsidR="00DB2F9B" w:rsidRPr="00DB2F9B" w:rsidRDefault="00DB2F9B" w:rsidP="00DB2F9B">
      <w:pPr>
        <w:rPr>
          <w:rFonts w:ascii="Century Gothic" w:hAnsi="Century Gothic"/>
        </w:rPr>
      </w:pPr>
    </w:p>
    <w:p w14:paraId="6461402A" w14:textId="77777777" w:rsidR="00DB2F9B" w:rsidRPr="00DB2F9B" w:rsidRDefault="00DB2F9B" w:rsidP="00DB2F9B">
      <w:pPr>
        <w:rPr>
          <w:rFonts w:ascii="Century Gothic" w:hAnsi="Century Gothic"/>
        </w:rPr>
      </w:pPr>
    </w:p>
    <w:p w14:paraId="2A03895F" w14:textId="77777777" w:rsidR="00DB2F9B" w:rsidRPr="00DB2F9B" w:rsidRDefault="00DB2F9B" w:rsidP="00DB2F9B">
      <w:pPr>
        <w:rPr>
          <w:rFonts w:ascii="Century Gothic" w:hAnsi="Century Gothic"/>
        </w:rPr>
      </w:pPr>
    </w:p>
    <w:p w14:paraId="44416C7F" w14:textId="77777777" w:rsidR="00DB2F9B" w:rsidRPr="00DB2F9B" w:rsidRDefault="00DB2F9B" w:rsidP="00DB2F9B">
      <w:pPr>
        <w:rPr>
          <w:rFonts w:ascii="Century Gothic" w:hAnsi="Century Gothic"/>
        </w:rPr>
      </w:pPr>
    </w:p>
    <w:p w14:paraId="2B6BD8CB" w14:textId="77777777" w:rsidR="00DB2F9B" w:rsidRPr="00DB2F9B" w:rsidRDefault="00DB2F9B" w:rsidP="00DB2F9B">
      <w:pPr>
        <w:rPr>
          <w:rFonts w:ascii="Century Gothic" w:hAnsi="Century Gothic"/>
        </w:rPr>
      </w:pPr>
    </w:p>
    <w:p w14:paraId="4132F836" w14:textId="77777777" w:rsidR="00DB2F9B" w:rsidRPr="00DB2F9B" w:rsidRDefault="00DB2F9B" w:rsidP="00DB2F9B">
      <w:pPr>
        <w:rPr>
          <w:rFonts w:ascii="Century Gothic" w:hAnsi="Century Gothic"/>
        </w:rPr>
      </w:pPr>
    </w:p>
    <w:p w14:paraId="682F3894" w14:textId="77777777" w:rsidR="00DB2F9B" w:rsidRPr="00DB2F9B" w:rsidRDefault="00DB2F9B" w:rsidP="00DB2F9B">
      <w:pPr>
        <w:rPr>
          <w:rFonts w:ascii="Century Gothic" w:hAnsi="Century Gothic"/>
        </w:rPr>
      </w:pPr>
    </w:p>
    <w:p w14:paraId="1E40CD3B" w14:textId="77777777" w:rsidR="00DB2F9B" w:rsidRPr="00DB2F9B" w:rsidRDefault="00DB2F9B" w:rsidP="00DB2F9B">
      <w:pPr>
        <w:rPr>
          <w:rFonts w:ascii="Century Gothic" w:hAnsi="Century Gothic"/>
        </w:rPr>
      </w:pPr>
    </w:p>
    <w:p w14:paraId="2F73D66C" w14:textId="77777777" w:rsidR="00DB2F9B" w:rsidRPr="00DB2F9B" w:rsidRDefault="00DB2F9B" w:rsidP="00DB2F9B">
      <w:pPr>
        <w:rPr>
          <w:rFonts w:ascii="Century Gothic" w:hAnsi="Century Gothic"/>
        </w:rPr>
      </w:pPr>
    </w:p>
    <w:p w14:paraId="3264D249" w14:textId="77777777" w:rsidR="00DB2F9B" w:rsidRPr="00DB2F9B" w:rsidRDefault="00DB2F9B" w:rsidP="00DB2F9B">
      <w:pPr>
        <w:rPr>
          <w:rFonts w:ascii="Century Gothic" w:hAnsi="Century Gothic"/>
        </w:rPr>
      </w:pPr>
    </w:p>
    <w:p w14:paraId="27FC69F5" w14:textId="77777777" w:rsidR="00DB2F9B" w:rsidRPr="00DB2F9B" w:rsidRDefault="00DB2F9B" w:rsidP="00DB2F9B">
      <w:pPr>
        <w:rPr>
          <w:rFonts w:ascii="Century Gothic" w:hAnsi="Century Gothic"/>
        </w:rPr>
      </w:pPr>
    </w:p>
    <w:p w14:paraId="6D53305D" w14:textId="77777777" w:rsidR="00DB2F9B" w:rsidRPr="00DB2F9B" w:rsidRDefault="00DB2F9B" w:rsidP="00DB2F9B">
      <w:pPr>
        <w:rPr>
          <w:rFonts w:ascii="Century Gothic" w:hAnsi="Century Gothic"/>
        </w:rPr>
      </w:pPr>
    </w:p>
    <w:p w14:paraId="00706A1D" w14:textId="77777777" w:rsidR="00DB2F9B" w:rsidRPr="00DB2F9B" w:rsidRDefault="00DB2F9B" w:rsidP="00DB2F9B">
      <w:pPr>
        <w:rPr>
          <w:rFonts w:ascii="Century Gothic" w:hAnsi="Century Gothic"/>
        </w:rPr>
      </w:pPr>
    </w:p>
    <w:p w14:paraId="660FE94D" w14:textId="77777777" w:rsidR="00DB2F9B" w:rsidRPr="00DB2F9B" w:rsidRDefault="00DB2F9B" w:rsidP="00DB2F9B">
      <w:pPr>
        <w:rPr>
          <w:rFonts w:ascii="Century Gothic" w:hAnsi="Century Gothic"/>
        </w:rPr>
      </w:pPr>
    </w:p>
    <w:p w14:paraId="4EC630FC" w14:textId="77777777" w:rsidR="00DB2F9B" w:rsidRPr="00DB2F9B" w:rsidRDefault="00DB2F9B" w:rsidP="00DB2F9B">
      <w:pPr>
        <w:rPr>
          <w:rFonts w:ascii="Century Gothic" w:hAnsi="Century Gothic"/>
        </w:rPr>
      </w:pPr>
    </w:p>
    <w:p w14:paraId="7E3C7994" w14:textId="77777777" w:rsidR="00DB2F9B" w:rsidRPr="00DB2F9B" w:rsidRDefault="00DB2F9B" w:rsidP="00DB2F9B">
      <w:pPr>
        <w:rPr>
          <w:rFonts w:ascii="Century Gothic" w:hAnsi="Century Gothic"/>
        </w:rPr>
      </w:pPr>
    </w:p>
    <w:p w14:paraId="36DC73D8" w14:textId="77777777" w:rsidR="00DB2F9B" w:rsidRPr="00DB2F9B" w:rsidRDefault="00DB2F9B" w:rsidP="00DB2F9B">
      <w:pPr>
        <w:rPr>
          <w:rFonts w:ascii="Century Gothic" w:hAnsi="Century Gothic"/>
        </w:rPr>
      </w:pPr>
    </w:p>
    <w:p w14:paraId="525D452A" w14:textId="77777777" w:rsidR="00DB2F9B" w:rsidRPr="00DB2F9B" w:rsidRDefault="00DB2F9B" w:rsidP="00DB2F9B">
      <w:pPr>
        <w:rPr>
          <w:rFonts w:ascii="Century Gothic" w:hAnsi="Century Gothic"/>
        </w:rPr>
      </w:pPr>
    </w:p>
    <w:p w14:paraId="49B7F9E0" w14:textId="77777777" w:rsidR="00DB2F9B" w:rsidRPr="00DB2F9B" w:rsidRDefault="00DB2F9B" w:rsidP="00DB2F9B">
      <w:pPr>
        <w:rPr>
          <w:rFonts w:ascii="Century Gothic" w:hAnsi="Century Gothic"/>
        </w:rPr>
      </w:pPr>
    </w:p>
    <w:p w14:paraId="5B68E0A6" w14:textId="77777777" w:rsidR="00DB2F9B" w:rsidRPr="00DB2F9B" w:rsidRDefault="00DB2F9B" w:rsidP="00DB2F9B">
      <w:pPr>
        <w:rPr>
          <w:rFonts w:ascii="Century Gothic" w:hAnsi="Century Gothic"/>
        </w:rPr>
      </w:pPr>
    </w:p>
    <w:p w14:paraId="6722EC31" w14:textId="77777777" w:rsidR="00DB2F9B" w:rsidRPr="00DB2F9B" w:rsidRDefault="00DB2F9B" w:rsidP="00DB2F9B">
      <w:pPr>
        <w:rPr>
          <w:rFonts w:ascii="Century Gothic" w:hAnsi="Century Gothic"/>
        </w:rPr>
      </w:pPr>
    </w:p>
    <w:p w14:paraId="4D113D12" w14:textId="77777777" w:rsidR="00DB2F9B" w:rsidRPr="00DB2F9B" w:rsidRDefault="00DB2F9B" w:rsidP="00DB2F9B">
      <w:pPr>
        <w:rPr>
          <w:rFonts w:ascii="Century Gothic" w:hAnsi="Century Gothic"/>
        </w:rPr>
      </w:pPr>
    </w:p>
    <w:p w14:paraId="7D3AE5FE" w14:textId="77777777" w:rsidR="00DB2F9B" w:rsidRPr="00DB2F9B" w:rsidRDefault="00DB2F9B" w:rsidP="00DB2F9B">
      <w:pPr>
        <w:rPr>
          <w:rFonts w:ascii="Century Gothic" w:hAnsi="Century Gothic"/>
        </w:rPr>
      </w:pPr>
    </w:p>
    <w:p w14:paraId="3C771EC1" w14:textId="77777777" w:rsidR="00DB2F9B" w:rsidRPr="00DB2F9B" w:rsidRDefault="00DB2F9B" w:rsidP="00DB2F9B">
      <w:pPr>
        <w:rPr>
          <w:rFonts w:ascii="Century Gothic" w:hAnsi="Century Gothic"/>
        </w:rPr>
      </w:pPr>
    </w:p>
    <w:p w14:paraId="792322FE" w14:textId="77777777" w:rsidR="00DB2F9B" w:rsidRPr="00DB2F9B" w:rsidRDefault="00DB2F9B" w:rsidP="00DB2F9B">
      <w:pPr>
        <w:rPr>
          <w:rFonts w:ascii="Century Gothic" w:hAnsi="Century Gothic"/>
        </w:rPr>
      </w:pPr>
    </w:p>
    <w:p w14:paraId="783224BA" w14:textId="77777777" w:rsidR="00DB2F9B" w:rsidRPr="00DB2F9B" w:rsidRDefault="00DB2F9B" w:rsidP="00DB2F9B">
      <w:pPr>
        <w:rPr>
          <w:rFonts w:ascii="Century Gothic" w:hAnsi="Century Gothic"/>
        </w:rPr>
      </w:pPr>
    </w:p>
    <w:p w14:paraId="490FF043" w14:textId="77777777" w:rsidR="00DB2F9B" w:rsidRPr="00DB2F9B" w:rsidRDefault="00DB2F9B" w:rsidP="00DB2F9B">
      <w:pPr>
        <w:rPr>
          <w:rFonts w:ascii="Century Gothic" w:hAnsi="Century Gothic"/>
        </w:rPr>
      </w:pPr>
    </w:p>
    <w:p w14:paraId="096EA035" w14:textId="77777777" w:rsidR="00DB2F9B" w:rsidRPr="00DB2F9B" w:rsidRDefault="00DB2F9B" w:rsidP="00DB2F9B">
      <w:pPr>
        <w:rPr>
          <w:rFonts w:ascii="Century Gothic" w:hAnsi="Century Gothic"/>
        </w:rPr>
      </w:pPr>
    </w:p>
    <w:p w14:paraId="74F6775F" w14:textId="77777777" w:rsidR="00DB2F9B" w:rsidRPr="00DB2F9B" w:rsidRDefault="00DB2F9B" w:rsidP="00DB2F9B">
      <w:pPr>
        <w:rPr>
          <w:rFonts w:ascii="Century Gothic" w:hAnsi="Century Gothic"/>
        </w:rPr>
      </w:pPr>
    </w:p>
    <w:p w14:paraId="11FA88C0" w14:textId="77777777" w:rsidR="00DB2F9B" w:rsidRDefault="00DB2F9B" w:rsidP="00DB2F9B">
      <w:pPr>
        <w:rPr>
          <w:rFonts w:ascii="Century Gothic" w:hAnsi="Century Gothic"/>
          <w:sz w:val="22"/>
          <w:szCs w:val="22"/>
        </w:rPr>
      </w:pPr>
    </w:p>
    <w:p w14:paraId="2D925BBC" w14:textId="77777777" w:rsidR="00DB2F9B" w:rsidRDefault="00DB2F9B" w:rsidP="00DB2F9B">
      <w:pPr>
        <w:ind w:firstLine="720"/>
        <w:rPr>
          <w:rFonts w:ascii="Century Gothic" w:hAnsi="Century Gothic"/>
          <w:sz w:val="22"/>
          <w:szCs w:val="22"/>
        </w:rPr>
      </w:pPr>
    </w:p>
    <w:p w14:paraId="538D29CC" w14:textId="77777777" w:rsidR="00DB2F9B" w:rsidRPr="00DB2F9B" w:rsidRDefault="00DB2F9B" w:rsidP="00DB2F9B">
      <w:pPr>
        <w:rPr>
          <w:rFonts w:ascii="Century Gothic" w:hAnsi="Century Gothic"/>
        </w:rPr>
      </w:pPr>
    </w:p>
    <w:p w14:paraId="47FEA805" w14:textId="77777777" w:rsidR="00DB2F9B" w:rsidRPr="00DB2F9B" w:rsidRDefault="00DB2F9B" w:rsidP="00DB2F9B">
      <w:pPr>
        <w:rPr>
          <w:rFonts w:ascii="Century Gothic" w:hAnsi="Century Gothic"/>
        </w:rPr>
      </w:pPr>
    </w:p>
    <w:sectPr w:rsidR="00DB2F9B" w:rsidRPr="00DB2F9B" w:rsidSect="008B083D">
      <w:headerReference w:type="even" r:id="rId11"/>
      <w:headerReference w:type="default" r:id="rId12"/>
      <w:footerReference w:type="even" r:id="rId13"/>
      <w:footerReference w:type="default" r:id="rId14"/>
      <w:headerReference w:type="first" r:id="rId15"/>
      <w:footerReference w:type="first" r:id="rId16"/>
      <w:pgSz w:w="11906" w:h="16838"/>
      <w:pgMar w:top="1000" w:right="1100" w:bottom="1000" w:left="110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A438E7" w14:textId="77777777" w:rsidR="00A53C56" w:rsidRDefault="00A53C56" w:rsidP="003F133B">
      <w:r>
        <w:separator/>
      </w:r>
    </w:p>
  </w:endnote>
  <w:endnote w:type="continuationSeparator" w:id="0">
    <w:p w14:paraId="6FBDD925" w14:textId="77777777" w:rsidR="00A53C56" w:rsidRDefault="00A53C56" w:rsidP="003F13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CCE43" w14:textId="77777777" w:rsidR="00F947D7" w:rsidRDefault="00F947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A551A" w14:textId="4D5EB3DF" w:rsidR="00DB2F9B" w:rsidRPr="00DB2F9B" w:rsidRDefault="00AD2E41">
    <w:pPr>
      <w:pStyle w:val="Footer"/>
      <w:rPr>
        <w:rFonts w:ascii="Century Gothic" w:hAnsi="Century Gothic"/>
      </w:rPr>
    </w:pPr>
    <w:r>
      <w:rPr>
        <w:noProof/>
      </w:rPr>
      <w:drawing>
        <wp:anchor distT="0" distB="0" distL="114300" distR="114300" simplePos="0" relativeHeight="251661312" behindDoc="1" locked="0" layoutInCell="1" allowOverlap="1" wp14:anchorId="2BFC24F0" wp14:editId="4C2D0A55">
          <wp:simplePos x="0" y="0"/>
          <wp:positionH relativeFrom="margin">
            <wp:align>right</wp:align>
          </wp:positionH>
          <wp:positionV relativeFrom="paragraph">
            <wp:posOffset>-37424</wp:posOffset>
          </wp:positionV>
          <wp:extent cx="314325" cy="276860"/>
          <wp:effectExtent l="0" t="0" r="9525" b="8890"/>
          <wp:wrapThrough wrapText="bothSides">
            <wp:wrapPolygon edited="0">
              <wp:start x="6545" y="0"/>
              <wp:lineTo x="0" y="7431"/>
              <wp:lineTo x="0" y="19321"/>
              <wp:lineTo x="13091" y="20807"/>
              <wp:lineTo x="20945" y="20807"/>
              <wp:lineTo x="20945" y="8917"/>
              <wp:lineTo x="18327" y="0"/>
              <wp:lineTo x="6545" y="0"/>
            </wp:wrapPolygon>
          </wp:wrapThrough>
          <wp:docPr id="303257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2574" name="Picture 3032574"/>
                  <pic:cNvPicPr/>
                </pic:nvPicPr>
                <pic:blipFill>
                  <a:blip r:embed="rId1">
                    <a:extLst>
                      <a:ext uri="{28A0092B-C50C-407E-A947-70E740481C1C}">
                        <a14:useLocalDpi xmlns:a14="http://schemas.microsoft.com/office/drawing/2010/main" val="0"/>
                      </a:ext>
                    </a:extLst>
                  </a:blip>
                  <a:stretch>
                    <a:fillRect/>
                  </a:stretch>
                </pic:blipFill>
                <pic:spPr>
                  <a:xfrm>
                    <a:off x="0" y="0"/>
                    <a:ext cx="314325" cy="276860"/>
                  </a:xfrm>
                  <a:prstGeom prst="rect">
                    <a:avLst/>
                  </a:prstGeom>
                </pic:spPr>
              </pic:pic>
            </a:graphicData>
          </a:graphic>
          <wp14:sizeRelH relativeFrom="page">
            <wp14:pctWidth>0</wp14:pctWidth>
          </wp14:sizeRelH>
          <wp14:sizeRelV relativeFrom="page">
            <wp14:pctHeight>0</wp14:pctHeight>
          </wp14:sizeRelV>
        </wp:anchor>
      </w:drawing>
    </w:r>
    <w:r w:rsidR="00DB2F9B" w:rsidRPr="00DB2F9B">
      <w:rPr>
        <w:rFonts w:ascii="Century Gothic" w:hAnsi="Century Gothic"/>
      </w:rPr>
      <w:t xml:space="preserve">Page | </w:t>
    </w:r>
    <w:sdt>
      <w:sdtPr>
        <w:rPr>
          <w:rFonts w:ascii="Century Gothic" w:hAnsi="Century Gothic"/>
        </w:rPr>
        <w:id w:val="-1947913220"/>
        <w:docPartObj>
          <w:docPartGallery w:val="Page Numbers (Bottom of Page)"/>
          <w:docPartUnique/>
        </w:docPartObj>
      </w:sdtPr>
      <w:sdtContent>
        <w:r w:rsidR="00DB2F9B" w:rsidRPr="00DB2F9B">
          <w:rPr>
            <w:rFonts w:ascii="Century Gothic" w:hAnsi="Century Gothic"/>
          </w:rPr>
          <w:fldChar w:fldCharType="begin"/>
        </w:r>
        <w:r w:rsidR="00DB2F9B" w:rsidRPr="00DB2F9B">
          <w:rPr>
            <w:rFonts w:ascii="Century Gothic" w:hAnsi="Century Gothic"/>
          </w:rPr>
          <w:instrText>PAGE   \* MERGEFORMAT</w:instrText>
        </w:r>
        <w:r w:rsidR="00DB2F9B" w:rsidRPr="00DB2F9B">
          <w:rPr>
            <w:rFonts w:ascii="Century Gothic" w:hAnsi="Century Gothic"/>
          </w:rPr>
          <w:fldChar w:fldCharType="separate"/>
        </w:r>
        <w:r w:rsidR="00DB2F9B" w:rsidRPr="00DB2F9B">
          <w:rPr>
            <w:rFonts w:ascii="Century Gothic" w:hAnsi="Century Gothic"/>
            <w:lang w:val="en-GB"/>
          </w:rPr>
          <w:t>2</w:t>
        </w:r>
        <w:r w:rsidR="00DB2F9B" w:rsidRPr="00DB2F9B">
          <w:rPr>
            <w:rFonts w:ascii="Century Gothic" w:hAnsi="Century Gothic"/>
          </w:rPr>
          <w:fldChar w:fldCharType="end"/>
        </w:r>
      </w:sdtContent>
    </w:sdt>
  </w:p>
  <w:p w14:paraId="7CC76369" w14:textId="54609060" w:rsidR="008B083D" w:rsidRPr="00BE3D90" w:rsidRDefault="008B083D" w:rsidP="005C3DE2">
    <w:pPr>
      <w:pStyle w:val="Footer"/>
      <w:tabs>
        <w:tab w:val="clear" w:pos="4513"/>
        <w:tab w:val="left" w:pos="9026"/>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C176F" w14:textId="77777777" w:rsidR="00EA6E08" w:rsidRPr="00AF7A3F" w:rsidRDefault="00EA6E08" w:rsidP="00EA6E08">
    <w:pPr>
      <w:rPr>
        <w:rFonts w:ascii="Arial" w:hAnsi="Arial" w:cs="Arial"/>
        <w:b/>
        <w:bCs/>
        <w:color w:val="0072BC"/>
        <w:sz w:val="21"/>
        <w:szCs w:val="21"/>
      </w:rPr>
    </w:pPr>
  </w:p>
  <w:p w14:paraId="3B8BD18B" w14:textId="77777777" w:rsidR="00EA6E08" w:rsidRPr="00713235" w:rsidRDefault="00EA6E08" w:rsidP="00EA6E08">
    <w:pPr>
      <w:pStyle w:val="Footer"/>
      <w:pBdr>
        <w:top w:val="single" w:sz="4" w:space="1" w:color="0072BC"/>
      </w:pBdr>
      <w:jc w:val="center"/>
      <w:rPr>
        <w:rFonts w:ascii="Century Gothic" w:hAnsi="Century Gothic"/>
        <w:color w:val="0072BC"/>
        <w:sz w:val="4"/>
        <w:szCs w:val="4"/>
      </w:rPr>
    </w:pPr>
  </w:p>
  <w:sdt>
    <w:sdtPr>
      <w:rPr>
        <w:rFonts w:ascii="Century Gothic" w:hAnsi="Century Gothic"/>
        <w:color w:val="0072BC"/>
        <w:sz w:val="18"/>
        <w:szCs w:val="18"/>
      </w:rPr>
      <w:id w:val="-551000969"/>
      <w:docPartObj>
        <w:docPartGallery w:val="Page Numbers (Bottom of Page)"/>
        <w:docPartUnique/>
      </w:docPartObj>
    </w:sdtPr>
    <w:sdtEndPr/>
    <w:sdtContent>
      <w:p w14:paraId="7DF2A1A0" w14:textId="77777777" w:rsidR="00EA6E08" w:rsidRPr="003972CB" w:rsidRDefault="00EA6E08" w:rsidP="00EA6E08">
        <w:pPr>
          <w:pStyle w:val="Footer"/>
          <w:jc w:val="center"/>
          <w:rPr>
            <w:rFonts w:ascii="Century Gothic" w:hAnsi="Century Gothic"/>
            <w:color w:val="0072BC"/>
            <w:sz w:val="18"/>
            <w:szCs w:val="18"/>
          </w:rPr>
        </w:pPr>
        <w:r w:rsidRPr="003972CB">
          <w:rPr>
            <w:rFonts w:ascii="Century Gothic" w:hAnsi="Century Gothic"/>
            <w:color w:val="0072BC"/>
            <w:sz w:val="18"/>
            <w:szCs w:val="18"/>
          </w:rPr>
          <w:t>O</w:t>
        </w:r>
        <w:r>
          <w:rPr>
            <w:rFonts w:ascii="Century Gothic" w:hAnsi="Century Gothic"/>
            <w:color w:val="0072BC"/>
            <w:sz w:val="18"/>
            <w:szCs w:val="18"/>
          </w:rPr>
          <w:t>ffice</w:t>
        </w:r>
        <w:r w:rsidRPr="003972CB">
          <w:rPr>
            <w:rFonts w:ascii="Century Gothic" w:hAnsi="Century Gothic"/>
            <w:color w:val="0072BC"/>
            <w:sz w:val="18"/>
            <w:szCs w:val="18"/>
          </w:rPr>
          <w:t xml:space="preserve"> 8, Level 3, 14-16 Brisbane Avenue, Barton ACT 2600 | PO Box 29, Bellata NSW 2397 | 02 6273 3637</w:t>
        </w:r>
      </w:p>
      <w:p w14:paraId="27A978F1" w14:textId="3EF838B0" w:rsidR="008B083D" w:rsidRPr="00EA6E08" w:rsidRDefault="00EA6E08" w:rsidP="00EA6E08">
        <w:pPr>
          <w:pStyle w:val="Footer"/>
          <w:jc w:val="center"/>
          <w:rPr>
            <w:rFonts w:ascii="Century Gothic" w:hAnsi="Century Gothic"/>
            <w:color w:val="0072BC"/>
            <w:sz w:val="18"/>
            <w:szCs w:val="18"/>
          </w:rPr>
        </w:pPr>
        <w:r w:rsidRPr="003972CB">
          <w:rPr>
            <w:rFonts w:ascii="Century Gothic" w:hAnsi="Century Gothic"/>
            <w:color w:val="0072BC"/>
            <w:sz w:val="18"/>
            <w:szCs w:val="18"/>
          </w:rPr>
          <w:t>E: admin@irrigators.org.au | W: www.irrigators.org.au | T: @Nat_Irrigators | ABN: 92 133 308 326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D316E7" w14:textId="77777777" w:rsidR="00A53C56" w:rsidRDefault="00A53C56" w:rsidP="003F133B">
      <w:r>
        <w:separator/>
      </w:r>
    </w:p>
  </w:footnote>
  <w:footnote w:type="continuationSeparator" w:id="0">
    <w:p w14:paraId="6464A796" w14:textId="77777777" w:rsidR="00A53C56" w:rsidRDefault="00A53C56" w:rsidP="003F13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9D180" w14:textId="77777777" w:rsidR="00F947D7" w:rsidRDefault="00F947D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6571431"/>
      <w:docPartObj>
        <w:docPartGallery w:val="Watermarks"/>
        <w:docPartUnique/>
      </w:docPartObj>
    </w:sdtPr>
    <w:sdtContent>
      <w:p w14:paraId="75987ACC" w14:textId="0B3E6A27" w:rsidR="00F947D7" w:rsidRDefault="00F947D7">
        <w:pPr>
          <w:pStyle w:val="Header"/>
        </w:pPr>
        <w:r>
          <w:pict w14:anchorId="4CA1C45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DF0E4" w14:textId="0DD2EA17" w:rsidR="008B083D" w:rsidRDefault="008B083D">
    <w:pPr>
      <w:pStyle w:val="Header"/>
    </w:pPr>
    <w:r>
      <w:rPr>
        <w:rFonts w:ascii="Century Gothic" w:hAnsi="Century Gothic"/>
        <w:noProof/>
      </w:rPr>
      <w:drawing>
        <wp:anchor distT="0" distB="0" distL="114300" distR="114300" simplePos="0" relativeHeight="251659264" behindDoc="1" locked="0" layoutInCell="1" allowOverlap="1" wp14:anchorId="6F6B23C8" wp14:editId="48E6D471">
          <wp:simplePos x="0" y="0"/>
          <wp:positionH relativeFrom="margin">
            <wp:align>center</wp:align>
          </wp:positionH>
          <wp:positionV relativeFrom="paragraph">
            <wp:posOffset>-202565</wp:posOffset>
          </wp:positionV>
          <wp:extent cx="4677410" cy="1068070"/>
          <wp:effectExtent l="0" t="0" r="8890" b="0"/>
          <wp:wrapTopAndBottom/>
          <wp:docPr id="12" name="Picture 12"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graphical user interface&#10;&#10;Description automatically generated"/>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4677410" cy="10680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B061D"/>
    <w:multiLevelType w:val="hybridMultilevel"/>
    <w:tmpl w:val="8A963E10"/>
    <w:lvl w:ilvl="0" w:tplc="6E66DCC4">
      <w:start w:val="1"/>
      <w:numFmt w:val="bullet"/>
      <w:lvlText w:val="●"/>
      <w:lvlJc w:val="left"/>
      <w:pPr>
        <w:ind w:left="720" w:hanging="360"/>
      </w:pPr>
    </w:lvl>
    <w:lvl w:ilvl="1" w:tplc="00E0F4FA">
      <w:start w:val="1"/>
      <w:numFmt w:val="bullet"/>
      <w:lvlText w:val="○"/>
      <w:lvlJc w:val="left"/>
      <w:pPr>
        <w:ind w:left="1440" w:hanging="360"/>
      </w:pPr>
    </w:lvl>
    <w:lvl w:ilvl="2" w:tplc="BF2EEBF4">
      <w:start w:val="1"/>
      <w:numFmt w:val="bullet"/>
      <w:lvlText w:val="■"/>
      <w:lvlJc w:val="left"/>
      <w:pPr>
        <w:ind w:left="2160" w:hanging="360"/>
      </w:pPr>
    </w:lvl>
    <w:lvl w:ilvl="3" w:tplc="8C0656A4">
      <w:start w:val="1"/>
      <w:numFmt w:val="bullet"/>
      <w:lvlText w:val="●"/>
      <w:lvlJc w:val="left"/>
      <w:pPr>
        <w:ind w:left="2880" w:hanging="360"/>
      </w:pPr>
    </w:lvl>
    <w:lvl w:ilvl="4" w:tplc="25384EB6">
      <w:start w:val="1"/>
      <w:numFmt w:val="bullet"/>
      <w:lvlText w:val="○"/>
      <w:lvlJc w:val="left"/>
      <w:pPr>
        <w:ind w:left="3600" w:hanging="360"/>
      </w:pPr>
    </w:lvl>
    <w:lvl w:ilvl="5" w:tplc="3110AEB0">
      <w:start w:val="1"/>
      <w:numFmt w:val="bullet"/>
      <w:lvlText w:val="■"/>
      <w:lvlJc w:val="left"/>
      <w:pPr>
        <w:ind w:left="4320" w:hanging="360"/>
      </w:pPr>
    </w:lvl>
    <w:lvl w:ilvl="6" w:tplc="32763114">
      <w:start w:val="1"/>
      <w:numFmt w:val="bullet"/>
      <w:lvlText w:val="●"/>
      <w:lvlJc w:val="left"/>
      <w:pPr>
        <w:ind w:left="5040" w:hanging="360"/>
      </w:pPr>
    </w:lvl>
    <w:lvl w:ilvl="7" w:tplc="35EAAF0E">
      <w:start w:val="1"/>
      <w:numFmt w:val="bullet"/>
      <w:lvlText w:val="●"/>
      <w:lvlJc w:val="left"/>
      <w:pPr>
        <w:ind w:left="5760" w:hanging="360"/>
      </w:pPr>
    </w:lvl>
    <w:lvl w:ilvl="8" w:tplc="2E7EE5A0">
      <w:start w:val="1"/>
      <w:numFmt w:val="bullet"/>
      <w:lvlText w:val="●"/>
      <w:lvlJc w:val="left"/>
      <w:pPr>
        <w:ind w:left="6480" w:hanging="360"/>
      </w:pPr>
    </w:lvl>
  </w:abstractNum>
  <w:abstractNum w:abstractNumId="1" w15:restartNumberingAfterBreak="0">
    <w:nsid w:val="15725CDC"/>
    <w:multiLevelType w:val="hybridMultilevel"/>
    <w:tmpl w:val="701EC0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EF7531D"/>
    <w:multiLevelType w:val="hybridMultilevel"/>
    <w:tmpl w:val="A286A13E"/>
    <w:lvl w:ilvl="0" w:tplc="5844AAF0">
      <w:start w:val="1"/>
      <w:numFmt w:val="bullet"/>
      <w:lvlText w:val="•"/>
      <w:lvlJc w:val="left"/>
      <w:pPr>
        <w:ind w:left="504" w:hanging="288"/>
      </w:pPr>
    </w:lvl>
    <w:lvl w:ilvl="1" w:tplc="2AF0918C">
      <w:numFmt w:val="decimal"/>
      <w:lvlText w:val=""/>
      <w:lvlJc w:val="left"/>
    </w:lvl>
    <w:lvl w:ilvl="2" w:tplc="507C3EA8">
      <w:numFmt w:val="decimal"/>
      <w:lvlText w:val=""/>
      <w:lvlJc w:val="left"/>
    </w:lvl>
    <w:lvl w:ilvl="3" w:tplc="06984DAA">
      <w:numFmt w:val="decimal"/>
      <w:lvlText w:val=""/>
      <w:lvlJc w:val="left"/>
    </w:lvl>
    <w:lvl w:ilvl="4" w:tplc="07C09A3E">
      <w:numFmt w:val="decimal"/>
      <w:lvlText w:val=""/>
      <w:lvlJc w:val="left"/>
    </w:lvl>
    <w:lvl w:ilvl="5" w:tplc="CEDC6358">
      <w:numFmt w:val="decimal"/>
      <w:lvlText w:val=""/>
      <w:lvlJc w:val="left"/>
    </w:lvl>
    <w:lvl w:ilvl="6" w:tplc="B2D2B3AC">
      <w:numFmt w:val="decimal"/>
      <w:lvlText w:val=""/>
      <w:lvlJc w:val="left"/>
    </w:lvl>
    <w:lvl w:ilvl="7" w:tplc="7954EC90">
      <w:numFmt w:val="decimal"/>
      <w:lvlText w:val=""/>
      <w:lvlJc w:val="left"/>
    </w:lvl>
    <w:lvl w:ilvl="8" w:tplc="F372F18C">
      <w:numFmt w:val="decimal"/>
      <w:lvlText w:val=""/>
      <w:lvlJc w:val="left"/>
    </w:lvl>
  </w:abstractNum>
  <w:num w:numId="1" w16cid:durableId="1305888858">
    <w:abstractNumId w:val="0"/>
    <w:lvlOverride w:ilvl="0">
      <w:startOverride w:val="1"/>
    </w:lvlOverride>
  </w:num>
  <w:num w:numId="2" w16cid:durableId="19972941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displayBackgroundShap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045B"/>
    <w:rsid w:val="00027D71"/>
    <w:rsid w:val="0003789C"/>
    <w:rsid w:val="0006680E"/>
    <w:rsid w:val="000755A5"/>
    <w:rsid w:val="00080BD3"/>
    <w:rsid w:val="000C6D42"/>
    <w:rsid w:val="000D7F77"/>
    <w:rsid w:val="0013240A"/>
    <w:rsid w:val="0015096E"/>
    <w:rsid w:val="00161B4D"/>
    <w:rsid w:val="001712F2"/>
    <w:rsid w:val="00173492"/>
    <w:rsid w:val="00186D88"/>
    <w:rsid w:val="001B12E8"/>
    <w:rsid w:val="001B3D52"/>
    <w:rsid w:val="001F2626"/>
    <w:rsid w:val="001F37C0"/>
    <w:rsid w:val="001F531B"/>
    <w:rsid w:val="00201ACD"/>
    <w:rsid w:val="00210EEA"/>
    <w:rsid w:val="00263397"/>
    <w:rsid w:val="00265F12"/>
    <w:rsid w:val="00266C0E"/>
    <w:rsid w:val="002E5EF7"/>
    <w:rsid w:val="002F06F2"/>
    <w:rsid w:val="002F5E81"/>
    <w:rsid w:val="003276A0"/>
    <w:rsid w:val="00353490"/>
    <w:rsid w:val="003577D3"/>
    <w:rsid w:val="00390C6B"/>
    <w:rsid w:val="003F133B"/>
    <w:rsid w:val="003F23A0"/>
    <w:rsid w:val="00493EF5"/>
    <w:rsid w:val="004A0AE0"/>
    <w:rsid w:val="004B2BF4"/>
    <w:rsid w:val="004B7535"/>
    <w:rsid w:val="004C08C0"/>
    <w:rsid w:val="004F13A4"/>
    <w:rsid w:val="004F4EF8"/>
    <w:rsid w:val="00503E78"/>
    <w:rsid w:val="00506DB7"/>
    <w:rsid w:val="0056631E"/>
    <w:rsid w:val="00583F80"/>
    <w:rsid w:val="005934F2"/>
    <w:rsid w:val="005A58E8"/>
    <w:rsid w:val="005B49A0"/>
    <w:rsid w:val="005C3DE2"/>
    <w:rsid w:val="005D08F0"/>
    <w:rsid w:val="005E48B0"/>
    <w:rsid w:val="005E5145"/>
    <w:rsid w:val="006016C1"/>
    <w:rsid w:val="00615691"/>
    <w:rsid w:val="006431F9"/>
    <w:rsid w:val="00663EE9"/>
    <w:rsid w:val="006B63DC"/>
    <w:rsid w:val="006B7A7D"/>
    <w:rsid w:val="006C2CA4"/>
    <w:rsid w:val="007236AC"/>
    <w:rsid w:val="007320E0"/>
    <w:rsid w:val="00747EBA"/>
    <w:rsid w:val="00774936"/>
    <w:rsid w:val="0079375B"/>
    <w:rsid w:val="00796EBC"/>
    <w:rsid w:val="007A35DB"/>
    <w:rsid w:val="007B1BC5"/>
    <w:rsid w:val="007B33DA"/>
    <w:rsid w:val="007E420B"/>
    <w:rsid w:val="007F3EDF"/>
    <w:rsid w:val="007F4641"/>
    <w:rsid w:val="0083167B"/>
    <w:rsid w:val="00862B0E"/>
    <w:rsid w:val="008966B7"/>
    <w:rsid w:val="008A1529"/>
    <w:rsid w:val="008A26B2"/>
    <w:rsid w:val="008A7008"/>
    <w:rsid w:val="008B083D"/>
    <w:rsid w:val="008E43AA"/>
    <w:rsid w:val="008F62CE"/>
    <w:rsid w:val="008F7014"/>
    <w:rsid w:val="009159DB"/>
    <w:rsid w:val="0093033C"/>
    <w:rsid w:val="009353CF"/>
    <w:rsid w:val="00935E77"/>
    <w:rsid w:val="00944098"/>
    <w:rsid w:val="009472EC"/>
    <w:rsid w:val="00955A32"/>
    <w:rsid w:val="009560C8"/>
    <w:rsid w:val="00994417"/>
    <w:rsid w:val="009A3956"/>
    <w:rsid w:val="009A5C3F"/>
    <w:rsid w:val="009B317A"/>
    <w:rsid w:val="009D35DB"/>
    <w:rsid w:val="009D5E53"/>
    <w:rsid w:val="00A340E7"/>
    <w:rsid w:val="00A53C56"/>
    <w:rsid w:val="00A62F1E"/>
    <w:rsid w:val="00A7045B"/>
    <w:rsid w:val="00A707F3"/>
    <w:rsid w:val="00A81DB3"/>
    <w:rsid w:val="00A92543"/>
    <w:rsid w:val="00A968E3"/>
    <w:rsid w:val="00AA271D"/>
    <w:rsid w:val="00AA3A0F"/>
    <w:rsid w:val="00AA669F"/>
    <w:rsid w:val="00AA79B6"/>
    <w:rsid w:val="00AC5BDD"/>
    <w:rsid w:val="00AC6ADC"/>
    <w:rsid w:val="00AD2E41"/>
    <w:rsid w:val="00AE0823"/>
    <w:rsid w:val="00AE7ABC"/>
    <w:rsid w:val="00B21908"/>
    <w:rsid w:val="00B4787A"/>
    <w:rsid w:val="00B81AAE"/>
    <w:rsid w:val="00B93EAE"/>
    <w:rsid w:val="00BA63EB"/>
    <w:rsid w:val="00BD6E9F"/>
    <w:rsid w:val="00BE3AF8"/>
    <w:rsid w:val="00BE3D90"/>
    <w:rsid w:val="00BE3FFF"/>
    <w:rsid w:val="00C03A60"/>
    <w:rsid w:val="00C1130E"/>
    <w:rsid w:val="00C123BD"/>
    <w:rsid w:val="00C36443"/>
    <w:rsid w:val="00C44CDE"/>
    <w:rsid w:val="00C52862"/>
    <w:rsid w:val="00C86539"/>
    <w:rsid w:val="00C94A30"/>
    <w:rsid w:val="00CC2756"/>
    <w:rsid w:val="00CE12C2"/>
    <w:rsid w:val="00CF4F01"/>
    <w:rsid w:val="00D17B92"/>
    <w:rsid w:val="00D627B8"/>
    <w:rsid w:val="00D72C46"/>
    <w:rsid w:val="00D74484"/>
    <w:rsid w:val="00D76E65"/>
    <w:rsid w:val="00DB2F9B"/>
    <w:rsid w:val="00DE31A6"/>
    <w:rsid w:val="00DE509D"/>
    <w:rsid w:val="00DF38B3"/>
    <w:rsid w:val="00E31D83"/>
    <w:rsid w:val="00E35B65"/>
    <w:rsid w:val="00E965D0"/>
    <w:rsid w:val="00EA6E08"/>
    <w:rsid w:val="00EE09A2"/>
    <w:rsid w:val="00EE5C57"/>
    <w:rsid w:val="00EE6295"/>
    <w:rsid w:val="00EF552C"/>
    <w:rsid w:val="00F147F1"/>
    <w:rsid w:val="00F17E39"/>
    <w:rsid w:val="00F25CAD"/>
    <w:rsid w:val="00F352F0"/>
    <w:rsid w:val="00F83457"/>
    <w:rsid w:val="00F9119B"/>
    <w:rsid w:val="00F947D7"/>
    <w:rsid w:val="00F9758D"/>
    <w:rsid w:val="00FC67E9"/>
    <w:rsid w:val="00FE651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4A8E4F"/>
  <w15:docId w15:val="{93F1A5FD-EA25-4C1D-8A2E-E19B4C49D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CommentText">
    <w:name w:val="annotation text"/>
    <w:basedOn w:val="Normal"/>
    <w:link w:val="CommentTextChar"/>
    <w:uiPriority w:val="99"/>
    <w:semiHidden/>
    <w:unhideWhenUsed/>
    <w:rsid w:val="00A707F3"/>
  </w:style>
  <w:style w:type="character" w:customStyle="1" w:styleId="CommentTextChar">
    <w:name w:val="Comment Text Char"/>
    <w:basedOn w:val="DefaultParagraphFont"/>
    <w:link w:val="CommentText"/>
    <w:uiPriority w:val="99"/>
    <w:semiHidden/>
    <w:rsid w:val="00A707F3"/>
  </w:style>
  <w:style w:type="character" w:styleId="CommentReference">
    <w:name w:val="annotation reference"/>
    <w:basedOn w:val="DefaultParagraphFont"/>
    <w:uiPriority w:val="99"/>
    <w:semiHidden/>
    <w:unhideWhenUsed/>
    <w:rsid w:val="00A707F3"/>
    <w:rPr>
      <w:sz w:val="16"/>
      <w:szCs w:val="16"/>
    </w:rPr>
  </w:style>
  <w:style w:type="paragraph" w:styleId="Header">
    <w:name w:val="header"/>
    <w:basedOn w:val="Normal"/>
    <w:link w:val="HeaderChar"/>
    <w:uiPriority w:val="99"/>
    <w:unhideWhenUsed/>
    <w:rsid w:val="003F133B"/>
    <w:pPr>
      <w:tabs>
        <w:tab w:val="center" w:pos="4513"/>
        <w:tab w:val="right" w:pos="9026"/>
      </w:tabs>
    </w:pPr>
  </w:style>
  <w:style w:type="character" w:customStyle="1" w:styleId="HeaderChar">
    <w:name w:val="Header Char"/>
    <w:basedOn w:val="DefaultParagraphFont"/>
    <w:link w:val="Header"/>
    <w:uiPriority w:val="99"/>
    <w:rsid w:val="003F133B"/>
  </w:style>
  <w:style w:type="paragraph" w:styleId="Footer">
    <w:name w:val="footer"/>
    <w:basedOn w:val="Normal"/>
    <w:link w:val="FooterChar"/>
    <w:uiPriority w:val="99"/>
    <w:unhideWhenUsed/>
    <w:rsid w:val="003F133B"/>
    <w:pPr>
      <w:tabs>
        <w:tab w:val="center" w:pos="4513"/>
        <w:tab w:val="right" w:pos="9026"/>
      </w:tabs>
    </w:pPr>
  </w:style>
  <w:style w:type="character" w:customStyle="1" w:styleId="FooterChar">
    <w:name w:val="Footer Char"/>
    <w:basedOn w:val="DefaultParagraphFont"/>
    <w:link w:val="Footer"/>
    <w:uiPriority w:val="99"/>
    <w:rsid w:val="003F13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cid:image001.png@01D87B2A.2306CA00"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05a78c0f-a504-4649-88c9-b794f6403e85" xsi:nil="true"/>
    <lcf76f155ced4ddcb4097134ff3c332f xmlns="e809dcb9-122b-4a07-9542-d31a68380e9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85A1E11612CF340B16C95BCD3006626" ma:contentTypeVersion="18" ma:contentTypeDescription="Create a new document." ma:contentTypeScope="" ma:versionID="83da811c9e8e7e25b95c1da7c40ef9fc">
  <xsd:schema xmlns:xsd="http://www.w3.org/2001/XMLSchema" xmlns:xs="http://www.w3.org/2001/XMLSchema" xmlns:p="http://schemas.microsoft.com/office/2006/metadata/properties" xmlns:ns2="05a78c0f-a504-4649-88c9-b794f6403e85" xmlns:ns3="e809dcb9-122b-4a07-9542-d31a68380e93" targetNamespace="http://schemas.microsoft.com/office/2006/metadata/properties" ma:root="true" ma:fieldsID="88e9ae26ff635026e13bb1c43b027d4d" ns2:_="" ns3:_="">
    <xsd:import namespace="05a78c0f-a504-4649-88c9-b794f6403e85"/>
    <xsd:import namespace="e809dcb9-122b-4a07-9542-d31a68380e9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a78c0f-a504-4649-88c9-b794f6403e8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0d9da494-2820-463f-b5b3-52c4182aea95}" ma:internalName="TaxCatchAll" ma:showField="CatchAllData" ma:web="05a78c0f-a504-4649-88c9-b794f6403e8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09dcb9-122b-4a07-9542-d31a68380e93"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58bf22c-45f6-4dbd-b812-cdd956b0220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596201-9059-45D4-96B4-A60A5207C42F}">
  <ds:schemaRefs>
    <ds:schemaRef ds:uri="http://schemas.openxmlformats.org/officeDocument/2006/bibliography"/>
  </ds:schemaRefs>
</ds:datastoreItem>
</file>

<file path=customXml/itemProps2.xml><?xml version="1.0" encoding="utf-8"?>
<ds:datastoreItem xmlns:ds="http://schemas.openxmlformats.org/officeDocument/2006/customXml" ds:itemID="{6960D2C2-C3CF-4557-9EEB-C040E01C6993}">
  <ds:schemaRefs>
    <ds:schemaRef ds:uri="http://schemas.microsoft.com/office/2006/metadata/properties"/>
    <ds:schemaRef ds:uri="http://schemas.microsoft.com/office/infopath/2007/PartnerControls"/>
    <ds:schemaRef ds:uri="05a78c0f-a504-4649-88c9-b794f6403e85"/>
    <ds:schemaRef ds:uri="e809dcb9-122b-4a07-9542-d31a68380e93"/>
  </ds:schemaRefs>
</ds:datastoreItem>
</file>

<file path=customXml/itemProps3.xml><?xml version="1.0" encoding="utf-8"?>
<ds:datastoreItem xmlns:ds="http://schemas.openxmlformats.org/officeDocument/2006/customXml" ds:itemID="{5F0D07EF-50D8-4452-929D-A558FFC8F544}">
  <ds:schemaRefs>
    <ds:schemaRef ds:uri="http://schemas.microsoft.com/sharepoint/v3/contenttype/forms"/>
  </ds:schemaRefs>
</ds:datastoreItem>
</file>

<file path=customXml/itemProps4.xml><?xml version="1.0" encoding="utf-8"?>
<ds:datastoreItem xmlns:ds="http://schemas.openxmlformats.org/officeDocument/2006/customXml" ds:itemID="{BF9F3901-142C-45AE-9BCD-B0AF986F99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a78c0f-a504-4649-88c9-b794f6403e85"/>
    <ds:schemaRef ds:uri="e809dcb9-122b-4a07-9542-d31a68380e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1522</TotalTime>
  <Pages>10</Pages>
  <Words>4295</Words>
  <Characters>24483</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Zara Lowien</cp:lastModifiedBy>
  <cp:revision>150</cp:revision>
  <dcterms:created xsi:type="dcterms:W3CDTF">2026-07-23T04:11:00Z</dcterms:created>
  <dcterms:modified xsi:type="dcterms:W3CDTF">2026-07-26T21:37:00Z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0x010100585A1E11612CF340B16C95BCD3006626</vt:lpwstr>
  </property>
  <property fmtid="{D5CDD505-2E9C-101B-9397-08002B2CF9AE}" pid="3" name="MediaServiceImageTags">
    <vt:lpwstr/>
  </property>
</Properties>
</file>