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CDD5A" w14:textId="77777777" w:rsidR="00E05A34" w:rsidRPr="00F62C2A" w:rsidRDefault="00C467C6" w:rsidP="001F18B1">
      <w:pPr>
        <w:spacing w:after="120"/>
        <w:jc w:val="center"/>
        <w:rPr>
          <w:rFonts w:ascii="Century Gothic" w:hAnsi="Century Gothic"/>
          <w:sz w:val="18"/>
          <w:szCs w:val="18"/>
        </w:rPr>
      </w:pPr>
      <w:r w:rsidRPr="00F62C2A">
        <w:rPr>
          <w:rFonts w:ascii="Century Gothic" w:hAnsi="Century Gothic"/>
          <w:noProof/>
          <w:sz w:val="18"/>
          <w:szCs w:val="18"/>
        </w:rPr>
        <w:drawing>
          <wp:inline distT="0" distB="0" distL="0" distR="0" wp14:anchorId="0FD2680A" wp14:editId="463BD123">
            <wp:extent cx="5693191" cy="1007257"/>
            <wp:effectExtent l="0" t="0" r="317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838727" cy="1033006"/>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04"/>
      </w:tblGrid>
      <w:tr w:rsidR="001F18B1" w:rsidRPr="00F62C2A" w14:paraId="372ACB1D" w14:textId="77777777" w:rsidTr="0040118A">
        <w:tc>
          <w:tcPr>
            <w:tcW w:w="9304" w:type="dxa"/>
            <w:shd w:val="clear" w:color="auto" w:fill="D9D9D9" w:themeFill="background1" w:themeFillShade="D9"/>
          </w:tcPr>
          <w:p w14:paraId="14E8845E" w14:textId="0481EB28" w:rsidR="001F18B1" w:rsidRPr="00F62C2A" w:rsidRDefault="001F18B1" w:rsidP="001F18B1">
            <w:pPr>
              <w:spacing w:after="60"/>
              <w:jc w:val="center"/>
              <w:rPr>
                <w:rFonts w:ascii="Century Gothic" w:hAnsi="Century Gothic"/>
                <w:sz w:val="18"/>
                <w:szCs w:val="18"/>
              </w:rPr>
            </w:pPr>
            <w:r w:rsidRPr="00F62C2A">
              <w:rPr>
                <w:rFonts w:ascii="Century Gothic" w:eastAsia="Calibri" w:hAnsi="Century Gothic" w:cs="Calibri"/>
                <w:b/>
                <w:bCs/>
                <w:color w:val="1F3864"/>
                <w:sz w:val="24"/>
                <w:szCs w:val="24"/>
              </w:rPr>
              <w:t>Member letter pro forma — Independent Review of the Water Act 2007</w:t>
            </w:r>
          </w:p>
        </w:tc>
      </w:tr>
      <w:tr w:rsidR="001F18B1" w:rsidRPr="00F62C2A" w14:paraId="76482E61" w14:textId="77777777" w:rsidTr="0040118A">
        <w:tc>
          <w:tcPr>
            <w:tcW w:w="9304" w:type="dxa"/>
            <w:shd w:val="clear" w:color="auto" w:fill="D9D9D9" w:themeFill="background1" w:themeFillShade="D9"/>
          </w:tcPr>
          <w:p w14:paraId="6154337D" w14:textId="50E1A3A3" w:rsidR="001F18B1" w:rsidRPr="00F62C2A" w:rsidRDefault="001F18B1" w:rsidP="001F18B1">
            <w:pPr>
              <w:spacing w:after="240"/>
              <w:rPr>
                <w:rFonts w:ascii="Century Gothic" w:hAnsi="Century Gothic"/>
                <w:sz w:val="18"/>
                <w:szCs w:val="18"/>
              </w:rPr>
            </w:pPr>
            <w:r w:rsidRPr="00F62C2A">
              <w:rPr>
                <w:rFonts w:ascii="Century Gothic" w:eastAsia="Calibri" w:hAnsi="Century Gothic" w:cs="Calibri"/>
                <w:color w:val="595959"/>
                <w:sz w:val="18"/>
                <w:szCs w:val="18"/>
              </w:rPr>
              <w:t xml:space="preserve">For NIC members and affiliated irrigators or businesses making their own submission. Please personalise the sections in </w:t>
            </w:r>
            <w:r w:rsidRPr="00F62C2A">
              <w:rPr>
                <w:rFonts w:ascii="Century Gothic" w:eastAsia="Calibri" w:hAnsi="Century Gothic" w:cs="Calibri"/>
                <w:b/>
                <w:bCs/>
                <w:color w:val="0070C0"/>
                <w:sz w:val="18"/>
                <w:szCs w:val="18"/>
              </w:rPr>
              <w:t>[square brackets]</w:t>
            </w:r>
            <w:r w:rsidRPr="00F62C2A">
              <w:rPr>
                <w:rFonts w:ascii="Century Gothic" w:eastAsia="Calibri" w:hAnsi="Century Gothic" w:cs="Calibri"/>
                <w:color w:val="595959"/>
                <w:sz w:val="18"/>
                <w:szCs w:val="18"/>
              </w:rPr>
              <w:t xml:space="preserve">, delete this instruction line, and adapt the wording so it reads in your own voice. Submissions must be lodged </w:t>
            </w:r>
            <w:hyperlink r:id="rId10" w:history="1">
              <w:r w:rsidRPr="00F62C2A">
                <w:rPr>
                  <w:rStyle w:val="Hyperlink"/>
                  <w:rFonts w:ascii="Century Gothic" w:eastAsia="Calibri" w:hAnsi="Century Gothic" w:cs="Calibri"/>
                  <w:b/>
                  <w:bCs/>
                  <w:sz w:val="18"/>
                  <w:szCs w:val="18"/>
                </w:rPr>
                <w:t>online</w:t>
              </w:r>
              <w:r w:rsidRPr="00F62C2A">
                <w:rPr>
                  <w:rStyle w:val="Hyperlink"/>
                  <w:rFonts w:ascii="Century Gothic" w:eastAsia="Calibri" w:hAnsi="Century Gothic" w:cs="Calibri"/>
                  <w:sz w:val="18"/>
                  <w:szCs w:val="18"/>
                </w:rPr>
                <w:t xml:space="preserve"> </w:t>
              </w:r>
            </w:hyperlink>
            <w:r w:rsidRPr="00F62C2A">
              <w:rPr>
                <w:rFonts w:ascii="Century Gothic" w:eastAsia="Calibri" w:hAnsi="Century Gothic" w:cs="Calibri"/>
                <w:color w:val="595959"/>
                <w:sz w:val="18"/>
                <w:szCs w:val="18"/>
              </w:rPr>
              <w:t>before the deadline of</w:t>
            </w:r>
            <w:r w:rsidRPr="00F62C2A">
              <w:rPr>
                <w:rFonts w:ascii="Century Gothic" w:eastAsia="Calibri" w:hAnsi="Century Gothic" w:cs="Calibri"/>
                <w:color w:val="EE0000"/>
                <w:sz w:val="18"/>
                <w:szCs w:val="18"/>
              </w:rPr>
              <w:t xml:space="preserve"> </w:t>
            </w:r>
            <w:r w:rsidRPr="00F62C2A">
              <w:rPr>
                <w:rFonts w:ascii="Century Gothic" w:eastAsia="Calibri" w:hAnsi="Century Gothic" w:cs="Calibri"/>
                <w:b/>
                <w:bCs/>
                <w:color w:val="EE0000"/>
                <w:sz w:val="18"/>
                <w:szCs w:val="18"/>
              </w:rPr>
              <w:t>11.59PM</w:t>
            </w:r>
            <w:r w:rsidRPr="00F62C2A">
              <w:rPr>
                <w:rFonts w:ascii="Century Gothic" w:eastAsia="Calibri" w:hAnsi="Century Gothic" w:cs="Calibri"/>
                <w:b/>
                <w:bCs/>
                <w:color w:val="595959"/>
                <w:sz w:val="18"/>
                <w:szCs w:val="18"/>
              </w:rPr>
              <w:t xml:space="preserve"> </w:t>
            </w:r>
            <w:r w:rsidRPr="00F62C2A">
              <w:rPr>
                <w:rFonts w:ascii="Century Gothic" w:eastAsia="Calibri" w:hAnsi="Century Gothic" w:cs="Calibri"/>
                <w:b/>
                <w:bCs/>
                <w:color w:val="CC0000"/>
                <w:sz w:val="18"/>
                <w:szCs w:val="18"/>
              </w:rPr>
              <w:t>31 August 2026</w:t>
            </w:r>
            <w:r w:rsidRPr="00F62C2A">
              <w:rPr>
                <w:rFonts w:ascii="Century Gothic" w:eastAsia="Calibri" w:hAnsi="Century Gothic" w:cs="Calibri"/>
                <w:color w:val="595959"/>
                <w:sz w:val="18"/>
                <w:szCs w:val="18"/>
              </w:rPr>
              <w:t xml:space="preserve">. </w:t>
            </w:r>
            <w:r w:rsidRPr="00F62C2A">
              <w:rPr>
                <w:rFonts w:ascii="Century Gothic" w:eastAsia="Calibri" w:hAnsi="Century Gothic" w:cs="Calibri"/>
                <w:color w:val="595959"/>
                <w:sz w:val="18"/>
                <w:szCs w:val="18"/>
                <w:u w:val="single"/>
              </w:rPr>
              <w:t xml:space="preserve">No extensions are available. </w:t>
            </w:r>
          </w:p>
        </w:tc>
      </w:tr>
    </w:tbl>
    <w:p w14:paraId="44498CF6" w14:textId="77777777" w:rsidR="00E05A34" w:rsidRPr="00F62C2A" w:rsidRDefault="00C467C6">
      <w:pPr>
        <w:spacing w:after="140"/>
        <w:rPr>
          <w:rFonts w:ascii="Century Gothic" w:hAnsi="Century Gothic"/>
          <w:sz w:val="18"/>
          <w:szCs w:val="18"/>
        </w:rPr>
      </w:pPr>
      <w:r w:rsidRPr="00F62C2A">
        <w:rPr>
          <w:rFonts w:ascii="Century Gothic" w:eastAsia="Calibri" w:hAnsi="Century Gothic" w:cs="Calibri"/>
        </w:rPr>
        <w:t>[Your name / business or entity name]</w:t>
      </w:r>
    </w:p>
    <w:p w14:paraId="3D3AD4FA" w14:textId="77777777" w:rsidR="00E05A34" w:rsidRPr="00F62C2A" w:rsidRDefault="00C467C6">
      <w:pPr>
        <w:spacing w:after="240"/>
        <w:rPr>
          <w:rFonts w:ascii="Century Gothic" w:hAnsi="Century Gothic"/>
          <w:sz w:val="18"/>
          <w:szCs w:val="18"/>
        </w:rPr>
      </w:pPr>
      <w:r w:rsidRPr="00F62C2A">
        <w:rPr>
          <w:rFonts w:ascii="Century Gothic" w:eastAsia="Calibri" w:hAnsi="Century Gothic" w:cs="Calibri"/>
        </w:rPr>
        <w:t>[Date]</w:t>
      </w:r>
    </w:p>
    <w:p w14:paraId="150944C7" w14:textId="77777777" w:rsidR="00E05A34" w:rsidRPr="00F62C2A" w:rsidRDefault="00C467C6">
      <w:pPr>
        <w:spacing w:after="140"/>
        <w:rPr>
          <w:rFonts w:ascii="Century Gothic" w:hAnsi="Century Gothic"/>
          <w:sz w:val="18"/>
          <w:szCs w:val="18"/>
        </w:rPr>
      </w:pPr>
      <w:r w:rsidRPr="00F62C2A">
        <w:rPr>
          <w:rFonts w:ascii="Century Gothic" w:eastAsia="Calibri" w:hAnsi="Century Gothic" w:cs="Calibri"/>
        </w:rPr>
        <w:t>Independent Review of the Water Act 2007</w:t>
      </w:r>
    </w:p>
    <w:p w14:paraId="1FA0447C" w14:textId="3BE0FD77" w:rsidR="00E05A34" w:rsidRPr="00F62C2A" w:rsidRDefault="00C467C6">
      <w:pPr>
        <w:spacing w:after="240"/>
        <w:rPr>
          <w:rFonts w:ascii="Century Gothic" w:hAnsi="Century Gothic"/>
          <w:sz w:val="18"/>
          <w:szCs w:val="18"/>
        </w:rPr>
      </w:pPr>
      <w:r w:rsidRPr="00F62C2A">
        <w:rPr>
          <w:rFonts w:ascii="Century Gothic" w:eastAsia="Calibri" w:hAnsi="Century Gothic" w:cs="Calibri"/>
        </w:rPr>
        <w:t xml:space="preserve">Submitted online — </w:t>
      </w:r>
      <w:r w:rsidR="001F18B1" w:rsidRPr="00F62C2A">
        <w:rPr>
          <w:rFonts w:ascii="Century Gothic" w:eastAsia="Calibri" w:hAnsi="Century Gothic" w:cs="Calibri"/>
        </w:rPr>
        <w:t xml:space="preserve">via </w:t>
      </w:r>
      <w:hyperlink r:id="rId11" w:history="1">
        <w:r w:rsidR="001F18B1" w:rsidRPr="00F62C2A">
          <w:rPr>
            <w:rStyle w:val="Hyperlink"/>
            <w:rFonts w:ascii="Century Gothic" w:eastAsia="Calibri" w:hAnsi="Century Gothic" w:cs="Calibri"/>
          </w:rPr>
          <w:t>https://consult.dcceew.gov.au/water-act-review</w:t>
        </w:r>
      </w:hyperlink>
      <w:r w:rsidR="001F18B1" w:rsidRPr="00F62C2A">
        <w:rPr>
          <w:rFonts w:ascii="Century Gothic" w:eastAsia="Calibri" w:hAnsi="Century Gothic" w:cs="Calibri"/>
        </w:rPr>
        <w:t xml:space="preserve"> </w:t>
      </w:r>
    </w:p>
    <w:p w14:paraId="627019BE" w14:textId="77777777" w:rsidR="00E05A34" w:rsidRPr="00F62C2A" w:rsidRDefault="00C467C6">
      <w:pPr>
        <w:spacing w:after="200"/>
        <w:rPr>
          <w:rFonts w:ascii="Century Gothic" w:hAnsi="Century Gothic"/>
          <w:sz w:val="18"/>
          <w:szCs w:val="18"/>
        </w:rPr>
      </w:pPr>
      <w:r w:rsidRPr="00F62C2A">
        <w:rPr>
          <w:rFonts w:ascii="Century Gothic" w:eastAsia="Calibri" w:hAnsi="Century Gothic" w:cs="Calibri"/>
        </w:rPr>
        <w:t>Dear Review Panel,</w:t>
      </w:r>
    </w:p>
    <w:p w14:paraId="01987FEB" w14:textId="77777777" w:rsidR="00E05A34" w:rsidRPr="00F62C2A" w:rsidRDefault="00C467C6">
      <w:pPr>
        <w:spacing w:after="200"/>
        <w:rPr>
          <w:rFonts w:ascii="Century Gothic" w:hAnsi="Century Gothic"/>
          <w:sz w:val="18"/>
          <w:szCs w:val="18"/>
        </w:rPr>
      </w:pPr>
      <w:r w:rsidRPr="00F62C2A">
        <w:rPr>
          <w:rFonts w:ascii="Century Gothic" w:eastAsia="Calibri" w:hAnsi="Century Gothic" w:cs="Calibri"/>
          <w:b/>
          <w:bCs/>
        </w:rPr>
        <w:t>Re: Submission to the Independent Review of the Water Act 2007</w:t>
      </w:r>
    </w:p>
    <w:p w14:paraId="52701171" w14:textId="77777777" w:rsidR="00E05A34" w:rsidRPr="00F62C2A" w:rsidRDefault="00C467C6">
      <w:pPr>
        <w:spacing w:after="140"/>
        <w:rPr>
          <w:rFonts w:ascii="Century Gothic" w:hAnsi="Century Gothic"/>
          <w:sz w:val="18"/>
          <w:szCs w:val="18"/>
        </w:rPr>
      </w:pPr>
      <w:r w:rsidRPr="00F62C2A">
        <w:rPr>
          <w:rFonts w:ascii="Century Gothic" w:eastAsia="Calibri" w:hAnsi="Century Gothic" w:cs="Calibri"/>
        </w:rPr>
        <w:t xml:space="preserve">I am writing as </w:t>
      </w:r>
      <w:r w:rsidRPr="00F62C2A">
        <w:rPr>
          <w:rFonts w:ascii="Century Gothic" w:eastAsia="Calibri" w:hAnsi="Century Gothic" w:cs="Calibri"/>
          <w:color w:val="0070C0"/>
        </w:rPr>
        <w:t>[a member of the National Irrigators' Council / an irrigation entitlement holder]</w:t>
      </w:r>
      <w:r w:rsidRPr="00F62C2A">
        <w:rPr>
          <w:rFonts w:ascii="Century Gothic" w:eastAsia="Calibri" w:hAnsi="Century Gothic" w:cs="Calibri"/>
        </w:rPr>
        <w:t xml:space="preserve"> in </w:t>
      </w:r>
      <w:r w:rsidRPr="00F62C2A">
        <w:rPr>
          <w:rFonts w:ascii="Century Gothic" w:eastAsia="Calibri" w:hAnsi="Century Gothic" w:cs="Calibri"/>
          <w:color w:val="0070C0"/>
        </w:rPr>
        <w:t>[region]</w:t>
      </w:r>
      <w:r w:rsidRPr="00F62C2A">
        <w:rPr>
          <w:rFonts w:ascii="Century Gothic" w:eastAsia="Calibri" w:hAnsi="Century Gothic" w:cs="Calibri"/>
        </w:rPr>
        <w:t xml:space="preserve"> to support the submission made by the National Irrigators' Council (NIC) to this Review, and to add my own voice to its key messages.</w:t>
      </w:r>
    </w:p>
    <w:p w14:paraId="305A094C" w14:textId="06AB99C8" w:rsidR="00E05A34" w:rsidRPr="00F62C2A" w:rsidRDefault="001F18B1">
      <w:pPr>
        <w:spacing w:after="140"/>
        <w:rPr>
          <w:rFonts w:ascii="Century Gothic" w:hAnsi="Century Gothic"/>
          <w:sz w:val="18"/>
          <w:szCs w:val="18"/>
        </w:rPr>
      </w:pPr>
      <w:r w:rsidRPr="00F62C2A">
        <w:rPr>
          <w:rFonts w:ascii="Century Gothic" w:eastAsia="Calibri" w:hAnsi="Century Gothic" w:cs="Calibri"/>
        </w:rPr>
        <w:t xml:space="preserve">This submission </w:t>
      </w:r>
      <w:r w:rsidR="00C467C6" w:rsidRPr="00F62C2A">
        <w:rPr>
          <w:rFonts w:ascii="Century Gothic" w:eastAsia="Calibri" w:hAnsi="Century Gothic" w:cs="Calibri"/>
        </w:rPr>
        <w:t>refer</w:t>
      </w:r>
      <w:r w:rsidRPr="00F62C2A">
        <w:rPr>
          <w:rFonts w:ascii="Century Gothic" w:eastAsia="Calibri" w:hAnsi="Century Gothic" w:cs="Calibri"/>
        </w:rPr>
        <w:t>s</w:t>
      </w:r>
      <w:r w:rsidR="00C467C6" w:rsidRPr="00F62C2A">
        <w:rPr>
          <w:rFonts w:ascii="Century Gothic" w:eastAsia="Calibri" w:hAnsi="Century Gothic" w:cs="Calibri"/>
        </w:rPr>
        <w:t xml:space="preserve"> </w:t>
      </w:r>
      <w:r w:rsidRPr="00F62C2A">
        <w:rPr>
          <w:rFonts w:ascii="Century Gothic" w:eastAsia="Calibri" w:hAnsi="Century Gothic" w:cs="Calibri"/>
        </w:rPr>
        <w:t xml:space="preserve">and supports </w:t>
      </w:r>
      <w:r w:rsidR="00C467C6" w:rsidRPr="00F62C2A">
        <w:rPr>
          <w:rFonts w:ascii="Century Gothic" w:eastAsia="Calibri" w:hAnsi="Century Gothic" w:cs="Calibri"/>
        </w:rPr>
        <w:t>NIC's submission to the concurrent 2026 Murray–Darling Basin Plan Review,</w:t>
      </w:r>
      <w:r w:rsidRPr="00F62C2A">
        <w:rPr>
          <w:rFonts w:ascii="Century Gothic" w:eastAsia="Calibri" w:hAnsi="Century Gothic" w:cs="Calibri"/>
        </w:rPr>
        <w:t xml:space="preserve"> </w:t>
      </w:r>
      <w:r w:rsidR="00C467C6" w:rsidRPr="00F62C2A">
        <w:rPr>
          <w:rFonts w:ascii="Century Gothic" w:eastAsia="Calibri" w:hAnsi="Century Gothic" w:cs="Calibri"/>
        </w:rPr>
        <w:t xml:space="preserve">(available at </w:t>
      </w:r>
      <w:hyperlink r:id="rId12" w:history="1">
        <w:r w:rsidR="00C467C6" w:rsidRPr="00F62C2A">
          <w:rPr>
            <w:rFonts w:ascii="Century Gothic" w:eastAsia="Calibri" w:hAnsi="Century Gothic" w:cs="Calibri"/>
            <w:color w:val="1155CC"/>
            <w:u w:val="single"/>
          </w:rPr>
          <w:t>this link</w:t>
        </w:r>
      </w:hyperlink>
      <w:r w:rsidR="00C467C6" w:rsidRPr="00F62C2A">
        <w:rPr>
          <w:rFonts w:ascii="Century Gothic" w:eastAsia="Calibri" w:hAnsi="Century Gothic" w:cs="Calibri"/>
        </w:rPr>
        <w:t xml:space="preserve">), noting that submissions to the Basin Plan Review are automatically carried forward into this Water Act Review. </w:t>
      </w:r>
      <w:r w:rsidR="00C467C6" w:rsidRPr="00F62C2A">
        <w:rPr>
          <w:rFonts w:ascii="Century Gothic" w:eastAsia="Calibri" w:hAnsi="Century Gothic" w:cs="Calibri"/>
          <w:i/>
          <w:iCs/>
          <w:color w:val="808080"/>
          <w:highlight w:val="yellow"/>
        </w:rPr>
        <w:t xml:space="preserve">[If you made your own Basin Plan Review submission, </w:t>
      </w:r>
      <w:proofErr w:type="gramStart"/>
      <w:r w:rsidR="00C467C6" w:rsidRPr="00F62C2A">
        <w:rPr>
          <w:rFonts w:ascii="Century Gothic" w:eastAsia="Calibri" w:hAnsi="Century Gothic" w:cs="Calibri"/>
          <w:i/>
          <w:iCs/>
          <w:color w:val="808080"/>
          <w:highlight w:val="yellow"/>
        </w:rPr>
        <w:t>add:</w:t>
      </w:r>
      <w:proofErr w:type="gramEnd"/>
      <w:r w:rsidR="00C467C6" w:rsidRPr="00F62C2A">
        <w:rPr>
          <w:rFonts w:ascii="Century Gothic" w:eastAsia="Calibri" w:hAnsi="Century Gothic" w:cs="Calibri"/>
          <w:i/>
          <w:iCs/>
          <w:color w:val="808080"/>
          <w:highlight w:val="yellow"/>
        </w:rPr>
        <w:t xml:space="preserve"> I also refer the Review to my own submission, available at [insert your link].]</w:t>
      </w:r>
    </w:p>
    <w:p w14:paraId="09238779" w14:textId="4BCF2894" w:rsidR="00E05A34" w:rsidRPr="00F62C2A" w:rsidRDefault="00C467C6">
      <w:pPr>
        <w:spacing w:after="140"/>
        <w:rPr>
          <w:rFonts w:ascii="Century Gothic" w:hAnsi="Century Gothic"/>
          <w:sz w:val="18"/>
          <w:szCs w:val="18"/>
        </w:rPr>
      </w:pPr>
      <w:r w:rsidRPr="00F62C2A">
        <w:rPr>
          <w:rFonts w:ascii="Century Gothic" w:eastAsia="Calibri" w:hAnsi="Century Gothic" w:cs="Calibri"/>
        </w:rPr>
        <w:t xml:space="preserve">After more than 30 years of water reform, Sustainable Diversion Limits (SDLs) are now in place </w:t>
      </w:r>
      <w:r w:rsidR="00A34C3A">
        <w:rPr>
          <w:rFonts w:ascii="Century Gothic" w:eastAsia="Calibri" w:hAnsi="Century Gothic" w:cs="Calibri"/>
        </w:rPr>
        <w:t xml:space="preserve">in the Murray Darling Basin </w:t>
      </w:r>
      <w:r w:rsidRPr="00F62C2A">
        <w:rPr>
          <w:rFonts w:ascii="Century Gothic" w:eastAsia="Calibri" w:hAnsi="Century Gothic" w:cs="Calibri"/>
        </w:rPr>
        <w:t xml:space="preserve">and fully complied with, and </w:t>
      </w:r>
      <w:r w:rsidR="00135933">
        <w:rPr>
          <w:rFonts w:ascii="Century Gothic" w:eastAsia="Calibri" w:hAnsi="Century Gothic" w:cs="Calibri"/>
        </w:rPr>
        <w:t>almost all</w:t>
      </w:r>
      <w:r w:rsidRPr="00F62C2A">
        <w:rPr>
          <w:rFonts w:ascii="Century Gothic" w:eastAsia="Calibri" w:hAnsi="Century Gothic" w:cs="Calibri"/>
        </w:rPr>
        <w:t xml:space="preserve"> water recovery has been completed. This is a genuine </w:t>
      </w:r>
      <w:r w:rsidR="00E169B3" w:rsidRPr="00F62C2A">
        <w:rPr>
          <w:rFonts w:ascii="Century Gothic" w:eastAsia="Calibri" w:hAnsi="Century Gothic" w:cs="Calibri"/>
        </w:rPr>
        <w:t>achievement,</w:t>
      </w:r>
      <w:r w:rsidRPr="00F62C2A">
        <w:rPr>
          <w:rFonts w:ascii="Century Gothic" w:eastAsia="Calibri" w:hAnsi="Century Gothic" w:cs="Calibri"/>
        </w:rPr>
        <w:t xml:space="preserve"> but it has come at a real cost: 1 in 3 litres of water has been removed from irrigated agriculture in the Basin, and diversions now represent only 28% of inflows. Communities </w:t>
      </w:r>
      <w:r w:rsidR="001F18B1" w:rsidRPr="00F62C2A">
        <w:rPr>
          <w:rFonts w:ascii="Century Gothic" w:eastAsia="Calibri" w:hAnsi="Century Gothic" w:cs="Calibri"/>
        </w:rPr>
        <w:t xml:space="preserve">around the Basin and industries have been impacted by this program of rebalancing, with </w:t>
      </w:r>
      <w:r w:rsidRPr="00F62C2A">
        <w:rPr>
          <w:rFonts w:ascii="Century Gothic" w:eastAsia="Calibri" w:hAnsi="Century Gothic" w:cs="Calibri"/>
        </w:rPr>
        <w:t>significant falls in agricultural employment and irrigated area as a result.</w:t>
      </w:r>
      <w:r w:rsidR="001F18B1" w:rsidRPr="00F62C2A">
        <w:rPr>
          <w:rFonts w:ascii="Century Gothic" w:eastAsia="Calibri" w:hAnsi="Century Gothic" w:cs="Calibri"/>
        </w:rPr>
        <w:t xml:space="preserve"> These impacts are masked by </w:t>
      </w:r>
      <w:r w:rsidR="00425A3E">
        <w:rPr>
          <w:rFonts w:ascii="Century Gothic" w:eastAsia="Calibri" w:hAnsi="Century Gothic" w:cs="Calibri"/>
        </w:rPr>
        <w:t>Basin</w:t>
      </w:r>
      <w:r w:rsidR="001F18B1" w:rsidRPr="00F62C2A">
        <w:rPr>
          <w:rFonts w:ascii="Century Gothic" w:eastAsia="Calibri" w:hAnsi="Century Gothic" w:cs="Calibri"/>
        </w:rPr>
        <w:t>-scale assessments, which do not represent the real impact</w:t>
      </w:r>
      <w:r w:rsidR="003E14D0">
        <w:rPr>
          <w:rFonts w:ascii="Century Gothic" w:eastAsia="Calibri" w:hAnsi="Century Gothic" w:cs="Calibri"/>
        </w:rPr>
        <w:t xml:space="preserve"> at the community level</w:t>
      </w:r>
      <w:r w:rsidR="001F18B1" w:rsidRPr="00F62C2A">
        <w:rPr>
          <w:rFonts w:ascii="Century Gothic" w:eastAsia="Calibri" w:hAnsi="Century Gothic" w:cs="Calibri"/>
          <w:color w:val="0070C0"/>
        </w:rPr>
        <w:t xml:space="preserve"> [insert community</w:t>
      </w:r>
      <w:r w:rsidR="0040118A" w:rsidRPr="00F62C2A">
        <w:rPr>
          <w:rFonts w:ascii="Century Gothic" w:eastAsia="Calibri" w:hAnsi="Century Gothic" w:cs="Calibri"/>
          <w:color w:val="0070C0"/>
        </w:rPr>
        <w:t xml:space="preserve"> or local example</w:t>
      </w:r>
      <w:r w:rsidR="001F18B1" w:rsidRPr="00F62C2A">
        <w:rPr>
          <w:rFonts w:ascii="Century Gothic" w:eastAsia="Calibri" w:hAnsi="Century Gothic" w:cs="Calibri"/>
          <w:color w:val="0070C0"/>
        </w:rPr>
        <w:t xml:space="preserve">]. </w:t>
      </w:r>
    </w:p>
    <w:p w14:paraId="3310DEC9" w14:textId="1761C613" w:rsidR="00E05A34" w:rsidRPr="00F62C2A" w:rsidRDefault="00C467C6">
      <w:pPr>
        <w:spacing w:after="140"/>
        <w:rPr>
          <w:rFonts w:ascii="Century Gothic" w:hAnsi="Century Gothic"/>
          <w:sz w:val="18"/>
          <w:szCs w:val="18"/>
        </w:rPr>
      </w:pPr>
      <w:r w:rsidRPr="00F62C2A">
        <w:rPr>
          <w:rFonts w:ascii="Century Gothic" w:eastAsia="Calibri" w:hAnsi="Century Gothic" w:cs="Calibri"/>
        </w:rPr>
        <w:t xml:space="preserve">Now this recovery phase is largely complete, the Water Act should mature from a framework built </w:t>
      </w:r>
      <w:r w:rsidR="0081280A">
        <w:rPr>
          <w:rFonts w:ascii="Century Gothic" w:eastAsia="Calibri" w:hAnsi="Century Gothic" w:cs="Calibri"/>
        </w:rPr>
        <w:t>to</w:t>
      </w:r>
      <w:r w:rsidR="0081280A" w:rsidRPr="00F62C2A">
        <w:rPr>
          <w:rFonts w:ascii="Century Gothic" w:eastAsia="Calibri" w:hAnsi="Century Gothic" w:cs="Calibri"/>
        </w:rPr>
        <w:t xml:space="preserve"> </w:t>
      </w:r>
      <w:r w:rsidRPr="00F62C2A">
        <w:rPr>
          <w:rFonts w:ascii="Century Gothic" w:eastAsia="Calibri" w:hAnsi="Century Gothic" w:cs="Calibri"/>
        </w:rPr>
        <w:t>change</w:t>
      </w:r>
      <w:r w:rsidR="00282924">
        <w:rPr>
          <w:rFonts w:ascii="Century Gothic" w:eastAsia="Calibri" w:hAnsi="Century Gothic" w:cs="Calibri"/>
        </w:rPr>
        <w:t xml:space="preserve"> diversion levels</w:t>
      </w:r>
      <w:r w:rsidRPr="00F62C2A">
        <w:rPr>
          <w:rFonts w:ascii="Century Gothic" w:eastAsia="Calibri" w:hAnsi="Century Gothic" w:cs="Calibri"/>
        </w:rPr>
        <w:t xml:space="preserve"> to one that provides stability. </w:t>
      </w:r>
      <w:r w:rsidR="001904F2">
        <w:rPr>
          <w:rFonts w:ascii="Century Gothic" w:eastAsia="Calibri" w:hAnsi="Century Gothic" w:cs="Calibri"/>
        </w:rPr>
        <w:t xml:space="preserve">This requires no further changes to SDLs, and removal of provisions for ongoing water recovery. </w:t>
      </w:r>
      <w:r w:rsidRPr="00F62C2A">
        <w:rPr>
          <w:rFonts w:ascii="Century Gothic" w:eastAsia="Calibri" w:hAnsi="Century Gothic" w:cs="Calibri"/>
        </w:rPr>
        <w:t xml:space="preserve">The next phase of Water Act and Basin Plan </w:t>
      </w:r>
      <w:r w:rsidR="00725AB8">
        <w:rPr>
          <w:rFonts w:ascii="Century Gothic" w:eastAsia="Calibri" w:hAnsi="Century Gothic" w:cs="Calibri"/>
        </w:rPr>
        <w:t>management</w:t>
      </w:r>
      <w:r w:rsidR="00725AB8" w:rsidRPr="00F62C2A">
        <w:rPr>
          <w:rFonts w:ascii="Century Gothic" w:eastAsia="Calibri" w:hAnsi="Century Gothic" w:cs="Calibri"/>
        </w:rPr>
        <w:t xml:space="preserve"> </w:t>
      </w:r>
      <w:r w:rsidRPr="00F62C2A">
        <w:rPr>
          <w:rFonts w:ascii="Century Gothic" w:eastAsia="Calibri" w:hAnsi="Century Gothic" w:cs="Calibri"/>
        </w:rPr>
        <w:t xml:space="preserve">must protect the property rights and water policy foundations that underpin irrigated </w:t>
      </w:r>
      <w:r w:rsidR="00894C2C" w:rsidRPr="00F62C2A">
        <w:rPr>
          <w:rFonts w:ascii="Century Gothic" w:eastAsia="Calibri" w:hAnsi="Century Gothic" w:cs="Calibri"/>
        </w:rPr>
        <w:t>agriculture</w:t>
      </w:r>
      <w:r w:rsidR="00725AB8">
        <w:rPr>
          <w:rFonts w:ascii="Century Gothic" w:eastAsia="Calibri" w:hAnsi="Century Gothic" w:cs="Calibri"/>
        </w:rPr>
        <w:t xml:space="preserve"> </w:t>
      </w:r>
      <w:r w:rsidR="00894C2C" w:rsidRPr="00F62C2A">
        <w:rPr>
          <w:rFonts w:ascii="Century Gothic" w:eastAsia="Calibri" w:hAnsi="Century Gothic" w:cs="Calibri"/>
        </w:rPr>
        <w:t>and</w:t>
      </w:r>
      <w:r w:rsidRPr="00F62C2A">
        <w:rPr>
          <w:rFonts w:ascii="Century Gothic" w:eastAsia="Calibri" w:hAnsi="Century Gothic" w:cs="Calibri"/>
        </w:rPr>
        <w:t xml:space="preserve"> shift the focus from water recovery to delivering outcomes – for communities, for the environment, and for Australia’s future.</w:t>
      </w:r>
    </w:p>
    <w:p w14:paraId="293F96D8" w14:textId="5E358715" w:rsidR="00E05A34" w:rsidRPr="00F62C2A" w:rsidRDefault="00C467C6">
      <w:pPr>
        <w:spacing w:after="160"/>
        <w:rPr>
          <w:rFonts w:ascii="Century Gothic" w:hAnsi="Century Gothic"/>
          <w:sz w:val="18"/>
          <w:szCs w:val="18"/>
        </w:rPr>
      </w:pPr>
      <w:r w:rsidRPr="00F62C2A">
        <w:rPr>
          <w:rFonts w:ascii="Century Gothic" w:eastAsia="Calibri" w:hAnsi="Century Gothic" w:cs="Calibri"/>
        </w:rPr>
        <w:t xml:space="preserve">I ask the Review to </w:t>
      </w:r>
      <w:r w:rsidR="00894C2C" w:rsidRPr="00F62C2A">
        <w:rPr>
          <w:rFonts w:ascii="Century Gothic" w:eastAsia="Calibri" w:hAnsi="Century Gothic" w:cs="Calibri"/>
        </w:rPr>
        <w:t>consider</w:t>
      </w:r>
      <w:r w:rsidRPr="00F62C2A">
        <w:rPr>
          <w:rFonts w:ascii="Century Gothic" w:eastAsia="Calibri" w:hAnsi="Century Gothic" w:cs="Calibri"/>
        </w:rPr>
        <w:t xml:space="preserve"> the following:</w:t>
      </w:r>
    </w:p>
    <w:p w14:paraId="078A9D6F" w14:textId="77777777" w:rsidR="00E05A34" w:rsidRPr="00F62C2A" w:rsidRDefault="00C467C6">
      <w:pPr>
        <w:spacing w:before="200" w:after="90"/>
        <w:rPr>
          <w:rFonts w:ascii="Century Gothic" w:hAnsi="Century Gothic"/>
          <w:sz w:val="18"/>
          <w:szCs w:val="18"/>
        </w:rPr>
      </w:pPr>
      <w:r w:rsidRPr="00F62C2A">
        <w:rPr>
          <w:rFonts w:ascii="Century Gothic" w:eastAsia="Calibri" w:hAnsi="Century Gothic" w:cs="Calibri"/>
          <w:b/>
          <w:bCs/>
          <w:color w:val="1F3864"/>
          <w:sz w:val="22"/>
          <w:szCs w:val="22"/>
        </w:rPr>
        <w:t>1. The objects of the Water Act</w:t>
      </w:r>
    </w:p>
    <w:p w14:paraId="6BC6714E" w14:textId="540AFACA" w:rsidR="00E05A34" w:rsidRPr="00F62C2A" w:rsidRDefault="00C467C6">
      <w:pPr>
        <w:spacing w:after="140"/>
        <w:rPr>
          <w:rFonts w:ascii="Century Gothic" w:hAnsi="Century Gothic"/>
          <w:sz w:val="18"/>
          <w:szCs w:val="18"/>
        </w:rPr>
      </w:pPr>
      <w:r w:rsidRPr="00F62C2A">
        <w:rPr>
          <w:rFonts w:ascii="Century Gothic" w:eastAsia="Calibri" w:hAnsi="Century Gothic" w:cs="Calibri"/>
        </w:rPr>
        <w:t>The Act’s own objects, need to be read and applied together</w:t>
      </w:r>
      <w:r w:rsidR="00A07CD9">
        <w:rPr>
          <w:rFonts w:ascii="Century Gothic" w:eastAsia="Calibri" w:hAnsi="Century Gothic" w:cs="Calibri"/>
        </w:rPr>
        <w:t xml:space="preserve">, with equal priority </w:t>
      </w:r>
      <w:r w:rsidRPr="00F62C2A">
        <w:rPr>
          <w:rFonts w:ascii="Century Gothic" w:eastAsia="Calibri" w:hAnsi="Century Gothic" w:cs="Calibri"/>
        </w:rPr>
        <w:t>– not just the environmental ones. In short:</w:t>
      </w:r>
    </w:p>
    <w:p w14:paraId="5476573A" w14:textId="77777777" w:rsidR="008C6663" w:rsidRPr="00F62C2A" w:rsidRDefault="008C6663" w:rsidP="008C6663">
      <w:pPr>
        <w:pStyle w:val="ListParagraph"/>
        <w:numPr>
          <w:ilvl w:val="0"/>
          <w:numId w:val="1"/>
        </w:numPr>
        <w:spacing w:after="90"/>
        <w:rPr>
          <w:rFonts w:ascii="Century Gothic" w:hAnsi="Century Gothic"/>
          <w:sz w:val="18"/>
          <w:szCs w:val="18"/>
        </w:rPr>
      </w:pPr>
      <w:r w:rsidRPr="00F62C2A">
        <w:rPr>
          <w:rFonts w:ascii="Century Gothic" w:eastAsia="Calibri" w:hAnsi="Century Gothic" w:cs="Calibri"/>
        </w:rPr>
        <w:t>SDLs are now in place and fully complied with (all 91 assessable water resource areas were compliant in 2024–25). Object (d) has essentially been achieved – the Act should shift its language from “recovering” water to “maintaining and complying with” SDLs. The related object of maximising net economic returns to the community has not been met, given the well-documented economic and social cost of water recovery to date and needs real attention</w:t>
      </w:r>
      <w:r>
        <w:rPr>
          <w:rFonts w:ascii="Century Gothic" w:eastAsia="Calibri" w:hAnsi="Century Gothic" w:cs="Calibri"/>
        </w:rPr>
        <w:t>, at various scales</w:t>
      </w:r>
      <w:r w:rsidRPr="00F62C2A">
        <w:rPr>
          <w:rFonts w:ascii="Century Gothic" w:eastAsia="Calibri" w:hAnsi="Century Gothic" w:cs="Calibri"/>
        </w:rPr>
        <w:t>.</w:t>
      </w:r>
    </w:p>
    <w:p w14:paraId="36F5B034" w14:textId="77777777" w:rsidR="00E05A34" w:rsidRPr="00F62C2A" w:rsidRDefault="00C467C6">
      <w:pPr>
        <w:pStyle w:val="ListParagraph"/>
        <w:numPr>
          <w:ilvl w:val="0"/>
          <w:numId w:val="1"/>
        </w:numPr>
        <w:spacing w:after="90"/>
        <w:rPr>
          <w:rFonts w:ascii="Century Gothic" w:hAnsi="Century Gothic"/>
          <w:sz w:val="18"/>
          <w:szCs w:val="18"/>
        </w:rPr>
      </w:pPr>
      <w:r w:rsidRPr="00F62C2A">
        <w:rPr>
          <w:rFonts w:ascii="Century Gothic" w:eastAsia="Calibri" w:hAnsi="Century Gothic" w:cs="Calibri"/>
        </w:rPr>
        <w:lastRenderedPageBreak/>
        <w:t>The Commonwealth doesn’t “manage” Basin water resources – the states do. Object (a) should be revised to describe a facilitating and coordinating role, not a managing one.</w:t>
      </w:r>
    </w:p>
    <w:p w14:paraId="0A757FE7" w14:textId="77777777" w:rsidR="00E05A34" w:rsidRPr="00F62C2A" w:rsidRDefault="00C467C6">
      <w:pPr>
        <w:pStyle w:val="ListParagraph"/>
        <w:numPr>
          <w:ilvl w:val="0"/>
          <w:numId w:val="1"/>
        </w:numPr>
        <w:spacing w:after="90"/>
        <w:rPr>
          <w:rFonts w:ascii="Century Gothic" w:hAnsi="Century Gothic"/>
          <w:sz w:val="18"/>
          <w:szCs w:val="18"/>
        </w:rPr>
      </w:pPr>
      <w:r w:rsidRPr="00F62C2A">
        <w:rPr>
          <w:rFonts w:ascii="Century Gothic" w:eastAsia="Calibri" w:hAnsi="Century Gothic" w:cs="Calibri"/>
        </w:rPr>
        <w:t>The Act’s reliance on international agreements (such as Ramsar) has tilted its focus toward environmental outcomes, at the expense of the social and economic outcomes objects (b) and (c) are equally meant to optimise. The scope of “relevant” agreements should be broadened to include Australia’s agricultural and trade interests too.</w:t>
      </w:r>
    </w:p>
    <w:p w14:paraId="39026518" w14:textId="43FC2DB0" w:rsidR="00E05A34" w:rsidRPr="00F62C2A" w:rsidRDefault="00C467C6">
      <w:pPr>
        <w:pStyle w:val="ListParagraph"/>
        <w:numPr>
          <w:ilvl w:val="0"/>
          <w:numId w:val="1"/>
        </w:numPr>
        <w:spacing w:after="90"/>
        <w:rPr>
          <w:rFonts w:ascii="Century Gothic" w:hAnsi="Century Gothic"/>
          <w:sz w:val="18"/>
          <w:szCs w:val="18"/>
        </w:rPr>
      </w:pPr>
      <w:r w:rsidRPr="00F62C2A">
        <w:rPr>
          <w:rFonts w:ascii="Century Gothic" w:eastAsia="Calibri" w:hAnsi="Century Gothic" w:cs="Calibri"/>
        </w:rPr>
        <w:t xml:space="preserve">The remaining objects – water security, integrated natural resource management, efficient administration, and good water information – all remain valid and should be retained, but the Act and its implementation need to </w:t>
      </w:r>
      <w:proofErr w:type="gramStart"/>
      <w:r w:rsidRPr="00F62C2A">
        <w:rPr>
          <w:rFonts w:ascii="Century Gothic" w:eastAsia="Calibri" w:hAnsi="Century Gothic" w:cs="Calibri"/>
        </w:rPr>
        <w:t>actually deliver</w:t>
      </w:r>
      <w:proofErr w:type="gramEnd"/>
      <w:r w:rsidRPr="00F62C2A">
        <w:rPr>
          <w:rFonts w:ascii="Century Gothic" w:eastAsia="Calibri" w:hAnsi="Century Gothic" w:cs="Calibri"/>
        </w:rPr>
        <w:t xml:space="preserve"> on them,</w:t>
      </w:r>
      <w:r w:rsidR="006A5BAB" w:rsidRPr="00F62C2A">
        <w:rPr>
          <w:rFonts w:ascii="Century Gothic" w:eastAsia="Calibri" w:hAnsi="Century Gothic" w:cs="Calibri"/>
        </w:rPr>
        <w:t xml:space="preserve"> in a </w:t>
      </w:r>
      <w:r w:rsidR="004A1FDB">
        <w:rPr>
          <w:rFonts w:ascii="Century Gothic" w:eastAsia="Calibri" w:hAnsi="Century Gothic" w:cs="Calibri"/>
        </w:rPr>
        <w:t xml:space="preserve">fit for purpose and </w:t>
      </w:r>
      <w:r w:rsidR="006A5BAB" w:rsidRPr="00F62C2A">
        <w:rPr>
          <w:rFonts w:ascii="Century Gothic" w:eastAsia="Calibri" w:hAnsi="Century Gothic" w:cs="Calibri"/>
        </w:rPr>
        <w:t>cost-effective manner,</w:t>
      </w:r>
      <w:r w:rsidRPr="00F62C2A">
        <w:rPr>
          <w:rFonts w:ascii="Century Gothic" w:eastAsia="Calibri" w:hAnsi="Century Gothic" w:cs="Calibri"/>
        </w:rPr>
        <w:t xml:space="preserve"> not just state them.</w:t>
      </w:r>
    </w:p>
    <w:p w14:paraId="2BED22E3" w14:textId="77777777" w:rsidR="00E05A34" w:rsidRPr="00F62C2A" w:rsidRDefault="00C467C6">
      <w:pPr>
        <w:spacing w:before="200" w:after="90"/>
        <w:rPr>
          <w:rFonts w:ascii="Century Gothic" w:hAnsi="Century Gothic"/>
          <w:sz w:val="18"/>
          <w:szCs w:val="18"/>
        </w:rPr>
      </w:pPr>
      <w:r w:rsidRPr="00F62C2A">
        <w:rPr>
          <w:rFonts w:ascii="Century Gothic" w:eastAsia="Calibri" w:hAnsi="Century Gothic" w:cs="Calibri"/>
          <w:b/>
          <w:bCs/>
          <w:color w:val="1F3864"/>
          <w:sz w:val="22"/>
          <w:szCs w:val="22"/>
        </w:rPr>
        <w:t>2. The role of the Commonwealth versus the States</w:t>
      </w:r>
    </w:p>
    <w:p w14:paraId="436017C9" w14:textId="69514DB6" w:rsidR="00E05A34" w:rsidRPr="00F62C2A" w:rsidRDefault="00C467C6">
      <w:pPr>
        <w:spacing w:after="140"/>
        <w:rPr>
          <w:rFonts w:ascii="Century Gothic" w:hAnsi="Century Gothic"/>
          <w:sz w:val="18"/>
          <w:szCs w:val="18"/>
        </w:rPr>
      </w:pPr>
      <w:r w:rsidRPr="00F62C2A">
        <w:rPr>
          <w:rFonts w:ascii="Century Gothic" w:eastAsia="Calibri" w:hAnsi="Century Gothic" w:cs="Calibri"/>
        </w:rPr>
        <w:t xml:space="preserve">Water resource management is, and should remain, principally a state and territory responsibility. The Commonwealth’s role is limited to specific, referred powers (such as SDL compliance) and constitutional grounds like the “external affairs” power. Two questions should sit at the centre of this Review: what is the proper role of the Commonwealth in water, and what </w:t>
      </w:r>
      <w:proofErr w:type="gramStart"/>
      <w:r w:rsidRPr="00F62C2A">
        <w:rPr>
          <w:rFonts w:ascii="Century Gothic" w:eastAsia="Calibri" w:hAnsi="Century Gothic" w:cs="Calibri"/>
        </w:rPr>
        <w:t>is</w:t>
      </w:r>
      <w:proofErr w:type="gramEnd"/>
      <w:r w:rsidRPr="00F62C2A">
        <w:rPr>
          <w:rFonts w:ascii="Century Gothic" w:eastAsia="Calibri" w:hAnsi="Century Gothic" w:cs="Calibri"/>
        </w:rPr>
        <w:t xml:space="preserve"> the proper role of the Water Act itself? In practice, some current requirements – Water Resource Plan accreditation is the clearest example – have become so prescriptive that they intrude on matters that are rightly the </w:t>
      </w:r>
      <w:proofErr w:type="gramStart"/>
      <w:r w:rsidRPr="00F62C2A">
        <w:rPr>
          <w:rFonts w:ascii="Century Gothic" w:eastAsia="Calibri" w:hAnsi="Century Gothic" w:cs="Calibri"/>
        </w:rPr>
        <w:t>states’</w:t>
      </w:r>
      <w:proofErr w:type="gramEnd"/>
      <w:r w:rsidRPr="00F62C2A">
        <w:rPr>
          <w:rFonts w:ascii="Century Gothic" w:eastAsia="Calibri" w:hAnsi="Century Gothic" w:cs="Calibri"/>
        </w:rPr>
        <w:t xml:space="preserve"> to manage. This is not a request to change the constitutional settings – only that the Act and its administration respect the boundaries that already exist.</w:t>
      </w:r>
    </w:p>
    <w:p w14:paraId="587D5222" w14:textId="196CF7E3" w:rsidR="00E05A34" w:rsidRPr="00F62C2A" w:rsidRDefault="00C467C6">
      <w:pPr>
        <w:spacing w:before="200" w:after="90"/>
        <w:rPr>
          <w:rFonts w:ascii="Century Gothic" w:hAnsi="Century Gothic"/>
          <w:sz w:val="18"/>
          <w:szCs w:val="18"/>
        </w:rPr>
      </w:pPr>
      <w:r w:rsidRPr="00F62C2A">
        <w:rPr>
          <w:rFonts w:ascii="Century Gothic" w:eastAsia="Calibri" w:hAnsi="Century Gothic" w:cs="Calibri"/>
          <w:b/>
          <w:bCs/>
          <w:color w:val="1F3864"/>
          <w:sz w:val="22"/>
          <w:szCs w:val="22"/>
        </w:rPr>
        <w:t xml:space="preserve">3. Reflecting the </w:t>
      </w:r>
      <w:r w:rsidR="0040118A" w:rsidRPr="00F62C2A">
        <w:rPr>
          <w:rFonts w:ascii="Century Gothic" w:eastAsia="Calibri" w:hAnsi="Century Gothic" w:cs="Calibri"/>
          <w:b/>
          <w:bCs/>
          <w:color w:val="1F3864"/>
          <w:sz w:val="22"/>
          <w:szCs w:val="22"/>
        </w:rPr>
        <w:t xml:space="preserve">newly released </w:t>
      </w:r>
      <w:r w:rsidRPr="00F62C2A">
        <w:rPr>
          <w:rFonts w:ascii="Century Gothic" w:eastAsia="Calibri" w:hAnsi="Century Gothic" w:cs="Calibri"/>
          <w:b/>
          <w:bCs/>
          <w:color w:val="1F3864"/>
          <w:sz w:val="22"/>
          <w:szCs w:val="22"/>
        </w:rPr>
        <w:t>National Water Agreement’s foundations in Commonwealth legislation</w:t>
      </w:r>
    </w:p>
    <w:p w14:paraId="5AC4D391" w14:textId="5E38A398" w:rsidR="00E05A34" w:rsidRPr="00F62C2A" w:rsidRDefault="00C467C6">
      <w:pPr>
        <w:spacing w:after="140"/>
        <w:rPr>
          <w:rFonts w:ascii="Century Gothic" w:hAnsi="Century Gothic"/>
          <w:sz w:val="18"/>
          <w:szCs w:val="18"/>
        </w:rPr>
      </w:pPr>
      <w:r w:rsidRPr="00F62C2A">
        <w:rPr>
          <w:rFonts w:ascii="Century Gothic" w:eastAsia="Calibri" w:hAnsi="Century Gothic" w:cs="Calibri"/>
        </w:rPr>
        <w:t xml:space="preserve">The original National Water Initiative (NWI) established the entitlement-based system that underpins </w:t>
      </w:r>
      <w:proofErr w:type="gramStart"/>
      <w:r w:rsidR="0040118A" w:rsidRPr="00F62C2A">
        <w:rPr>
          <w:rFonts w:ascii="Century Gothic" w:eastAsia="Calibri" w:hAnsi="Century Gothic" w:cs="Calibri"/>
        </w:rPr>
        <w:t>the majority of</w:t>
      </w:r>
      <w:proofErr w:type="gramEnd"/>
      <w:r w:rsidRPr="00F62C2A">
        <w:rPr>
          <w:rFonts w:ascii="Century Gothic" w:eastAsia="Calibri" w:hAnsi="Century Gothic" w:cs="Calibri"/>
        </w:rPr>
        <w:t xml:space="preserve"> water management in Australia today</w:t>
      </w:r>
      <w:r w:rsidR="0040118A" w:rsidRPr="00F62C2A">
        <w:rPr>
          <w:rFonts w:ascii="Century Gothic" w:eastAsia="Calibri" w:hAnsi="Century Gothic" w:cs="Calibri"/>
        </w:rPr>
        <w:t>; s</w:t>
      </w:r>
      <w:r w:rsidRPr="00F62C2A">
        <w:rPr>
          <w:rFonts w:ascii="Century Gothic" w:eastAsia="Calibri" w:hAnsi="Century Gothic" w:cs="Calibri"/>
        </w:rPr>
        <w:t xml:space="preserve">ecure, tradeable water entitlements, held separately from land, and treated consistently regardless of who holds them. Some </w:t>
      </w:r>
      <w:r w:rsidR="003747B9">
        <w:rPr>
          <w:rFonts w:ascii="Century Gothic" w:eastAsia="Calibri" w:hAnsi="Century Gothic" w:cs="Calibri"/>
        </w:rPr>
        <w:t>parts</w:t>
      </w:r>
      <w:r w:rsidRPr="00F62C2A">
        <w:rPr>
          <w:rFonts w:ascii="Century Gothic" w:eastAsia="Calibri" w:hAnsi="Century Gothic" w:cs="Calibri"/>
        </w:rPr>
        <w:t>, like the Risk Assignment Framework, is already written into the Act (Schedule 3A) and must stay there. Other core elements</w:t>
      </w:r>
      <w:r w:rsidR="00A409E4">
        <w:rPr>
          <w:rFonts w:ascii="Century Gothic" w:eastAsia="Calibri" w:hAnsi="Century Gothic" w:cs="Calibri"/>
        </w:rPr>
        <w:t xml:space="preserve"> -</w:t>
      </w:r>
      <w:r w:rsidR="0040118A" w:rsidRPr="00F62C2A">
        <w:rPr>
          <w:rFonts w:ascii="Century Gothic" w:eastAsia="Calibri" w:hAnsi="Century Gothic" w:cs="Calibri"/>
        </w:rPr>
        <w:t xml:space="preserve"> </w:t>
      </w:r>
      <w:r w:rsidRPr="00F62C2A">
        <w:rPr>
          <w:rFonts w:ascii="Century Gothic" w:eastAsia="Calibri" w:hAnsi="Century Gothic" w:cs="Calibri"/>
        </w:rPr>
        <w:t xml:space="preserve">particularly the defining characteristics of a water entitlement, and clear principles for how any future water recovery </w:t>
      </w:r>
      <w:r w:rsidR="0096106A">
        <w:rPr>
          <w:rFonts w:ascii="Century Gothic" w:eastAsia="Calibri" w:hAnsi="Century Gothic" w:cs="Calibri"/>
        </w:rPr>
        <w:t xml:space="preserve">(if it must occur) </w:t>
      </w:r>
      <w:r w:rsidRPr="00F62C2A">
        <w:rPr>
          <w:rFonts w:ascii="Century Gothic" w:eastAsia="Calibri" w:hAnsi="Century Gothic" w:cs="Calibri"/>
        </w:rPr>
        <w:t xml:space="preserve">must </w:t>
      </w:r>
      <w:r w:rsidR="0096106A">
        <w:rPr>
          <w:rFonts w:ascii="Century Gothic" w:eastAsia="Calibri" w:hAnsi="Century Gothic" w:cs="Calibri"/>
        </w:rPr>
        <w:t>abide by</w:t>
      </w:r>
      <w:r w:rsidR="0096106A" w:rsidRPr="00F62C2A">
        <w:rPr>
          <w:rFonts w:ascii="Century Gothic" w:eastAsia="Calibri" w:hAnsi="Century Gothic" w:cs="Calibri"/>
        </w:rPr>
        <w:t xml:space="preserve"> </w:t>
      </w:r>
      <w:r w:rsidRPr="00F62C2A">
        <w:rPr>
          <w:rFonts w:ascii="Century Gothic" w:eastAsia="Calibri" w:hAnsi="Century Gothic" w:cs="Calibri"/>
        </w:rPr>
        <w:t>(transparently, with a willing seller, and minimising impacts on other entitlement holders)</w:t>
      </w:r>
      <w:r w:rsidR="00A409E4">
        <w:rPr>
          <w:rFonts w:ascii="Century Gothic" w:eastAsia="Calibri" w:hAnsi="Century Gothic" w:cs="Calibri"/>
        </w:rPr>
        <w:t xml:space="preserve"> -</w:t>
      </w:r>
      <w:r w:rsidRPr="00F62C2A">
        <w:rPr>
          <w:rFonts w:ascii="Century Gothic" w:eastAsia="Calibri" w:hAnsi="Century Gothic" w:cs="Calibri"/>
        </w:rPr>
        <w:t xml:space="preserve"> should also be written into Commonwealth legislation, as durable guidance for the whole system. This is separate from the broader National Water Agreement itself, which has not yet been signed by the states and should not be treated as settled policy until that agreement is reached</w:t>
      </w:r>
      <w:r w:rsidR="00FA7854">
        <w:rPr>
          <w:rFonts w:ascii="Century Gothic" w:eastAsia="Calibri" w:hAnsi="Century Gothic" w:cs="Calibri"/>
        </w:rPr>
        <w:t>.</w:t>
      </w:r>
      <w:r w:rsidRPr="00F62C2A">
        <w:rPr>
          <w:rFonts w:ascii="Century Gothic" w:eastAsia="Calibri" w:hAnsi="Century Gothic" w:cs="Calibri"/>
        </w:rPr>
        <w:t xml:space="preserve"> </w:t>
      </w:r>
      <w:r w:rsidR="00FA7854">
        <w:rPr>
          <w:rFonts w:ascii="Century Gothic" w:eastAsia="Calibri" w:hAnsi="Century Gothic" w:cs="Calibri"/>
        </w:rPr>
        <w:t>T</w:t>
      </w:r>
      <w:r w:rsidRPr="00F62C2A">
        <w:rPr>
          <w:rFonts w:ascii="Century Gothic" w:eastAsia="Calibri" w:hAnsi="Century Gothic" w:cs="Calibri"/>
        </w:rPr>
        <w:t xml:space="preserve">he priority now is finishing that intergovernmental process, </w:t>
      </w:r>
      <w:r w:rsidR="00FA7854">
        <w:rPr>
          <w:rFonts w:ascii="Century Gothic" w:eastAsia="Calibri" w:hAnsi="Century Gothic" w:cs="Calibri"/>
        </w:rPr>
        <w:t xml:space="preserve">respecting the legacy of multijurisdictional cooperation, </w:t>
      </w:r>
      <w:r w:rsidRPr="00F62C2A">
        <w:rPr>
          <w:rFonts w:ascii="Century Gothic" w:eastAsia="Calibri" w:hAnsi="Century Gothic" w:cs="Calibri"/>
        </w:rPr>
        <w:t>while giving the enduring foundations of the entitlement system legislative certainty.</w:t>
      </w:r>
    </w:p>
    <w:p w14:paraId="4BF54D1F" w14:textId="77777777" w:rsidR="00E05A34" w:rsidRPr="00F62C2A" w:rsidRDefault="00C467C6">
      <w:pPr>
        <w:spacing w:before="200" w:after="90"/>
        <w:rPr>
          <w:rFonts w:ascii="Century Gothic" w:hAnsi="Century Gothic"/>
          <w:sz w:val="18"/>
          <w:szCs w:val="18"/>
        </w:rPr>
      </w:pPr>
      <w:r w:rsidRPr="00F62C2A">
        <w:rPr>
          <w:rFonts w:ascii="Century Gothic" w:eastAsia="Calibri" w:hAnsi="Century Gothic" w:cs="Calibri"/>
          <w:b/>
          <w:bCs/>
          <w:color w:val="1F3864"/>
          <w:sz w:val="22"/>
          <w:szCs w:val="22"/>
        </w:rPr>
        <w:t>4. Timeframes and the need for clarity on consultation</w:t>
      </w:r>
    </w:p>
    <w:p w14:paraId="1C9C8A3C" w14:textId="7B1A4419" w:rsidR="00E05A34" w:rsidRPr="00F62C2A" w:rsidRDefault="00C467C6">
      <w:pPr>
        <w:spacing w:after="140"/>
        <w:rPr>
          <w:rFonts w:ascii="Century Gothic" w:hAnsi="Century Gothic"/>
          <w:sz w:val="18"/>
          <w:szCs w:val="18"/>
        </w:rPr>
      </w:pPr>
      <w:r w:rsidRPr="00F62C2A">
        <w:rPr>
          <w:rFonts w:ascii="Century Gothic" w:eastAsia="Calibri" w:hAnsi="Century Gothic" w:cs="Calibri"/>
        </w:rPr>
        <w:t>This Review is running alongside several other connected reviews – the Basin Plan Review, the renewal of the National Water Initiative into a National Water Agreement, the statutory review of the Inspector-General of Water Compliance, the Menindee Lakes review</w:t>
      </w:r>
      <w:r w:rsidR="0040118A" w:rsidRPr="00F62C2A">
        <w:rPr>
          <w:rFonts w:ascii="Century Gothic" w:eastAsia="Calibri" w:hAnsi="Century Gothic" w:cs="Calibri"/>
        </w:rPr>
        <w:t>, the Productivity Commissions National Water Reform Inquiry</w:t>
      </w:r>
      <w:r w:rsidR="00D435D6">
        <w:rPr>
          <w:rFonts w:ascii="Century Gothic" w:eastAsia="Calibri" w:hAnsi="Century Gothic" w:cs="Calibri"/>
        </w:rPr>
        <w:t xml:space="preserve"> - </w:t>
      </w:r>
      <w:r w:rsidRPr="00F62C2A">
        <w:rPr>
          <w:rFonts w:ascii="Century Gothic" w:eastAsia="Calibri" w:hAnsi="Century Gothic" w:cs="Calibri"/>
        </w:rPr>
        <w:t xml:space="preserve">with drafting of updated legislation expected to follow in 2027. Because the outcome of the Basin Plan Review will materially affect what the Water Act needs to say, there are a lot of moving parts and “unresolved issues” still to be worked through. I ask the Review to publish a clear roadmap and timeframe for how these issues will be resolved, and to commit to genuine consultation with stakeholders at each remaining step, before </w:t>
      </w:r>
      <w:r w:rsidR="0040118A" w:rsidRPr="00F62C2A">
        <w:rPr>
          <w:rFonts w:ascii="Century Gothic" w:eastAsia="Calibri" w:hAnsi="Century Gothic" w:cs="Calibri"/>
        </w:rPr>
        <w:t xml:space="preserve">and after, </w:t>
      </w:r>
      <w:r w:rsidRPr="00F62C2A">
        <w:rPr>
          <w:rFonts w:ascii="Century Gothic" w:eastAsia="Calibri" w:hAnsi="Century Gothic" w:cs="Calibri"/>
        </w:rPr>
        <w:t>legislation is drafted.</w:t>
      </w:r>
    </w:p>
    <w:p w14:paraId="3C6FEFD2" w14:textId="77777777" w:rsidR="00E05A34" w:rsidRPr="00F62C2A" w:rsidRDefault="00C467C6">
      <w:pPr>
        <w:spacing w:before="100" w:after="240"/>
        <w:rPr>
          <w:rFonts w:ascii="Century Gothic" w:hAnsi="Century Gothic"/>
          <w:sz w:val="18"/>
          <w:szCs w:val="18"/>
        </w:rPr>
      </w:pPr>
      <w:r w:rsidRPr="00F62C2A">
        <w:rPr>
          <w:rFonts w:ascii="Century Gothic" w:eastAsia="Calibri" w:hAnsi="Century Gothic" w:cs="Calibri"/>
        </w:rPr>
        <w:t>Thank you for the opportunity to contribute to this important review. I would welcome the opportunity to discuss any of the above further.</w:t>
      </w:r>
    </w:p>
    <w:p w14:paraId="25EAB529" w14:textId="77777777" w:rsidR="00E169B3" w:rsidRDefault="00C467C6" w:rsidP="00E169B3">
      <w:pPr>
        <w:spacing w:after="300"/>
        <w:rPr>
          <w:rFonts w:ascii="Century Gothic" w:hAnsi="Century Gothic"/>
          <w:sz w:val="18"/>
          <w:szCs w:val="18"/>
        </w:rPr>
      </w:pPr>
      <w:r w:rsidRPr="00F62C2A">
        <w:rPr>
          <w:rFonts w:ascii="Century Gothic" w:eastAsia="Calibri" w:hAnsi="Century Gothic" w:cs="Calibri"/>
        </w:rPr>
        <w:t>Yours sincerely,</w:t>
      </w:r>
    </w:p>
    <w:p w14:paraId="76A1B52D" w14:textId="0C25EC66" w:rsidR="00E05A34" w:rsidRPr="00F62C2A" w:rsidRDefault="00C467C6" w:rsidP="00E169B3">
      <w:pPr>
        <w:rPr>
          <w:rFonts w:ascii="Century Gothic" w:hAnsi="Century Gothic"/>
          <w:sz w:val="18"/>
          <w:szCs w:val="18"/>
        </w:rPr>
      </w:pPr>
      <w:r w:rsidRPr="00F62C2A">
        <w:rPr>
          <w:rFonts w:ascii="Century Gothic" w:eastAsia="Calibri" w:hAnsi="Century Gothic" w:cs="Calibri"/>
        </w:rPr>
        <w:t>[Name]</w:t>
      </w:r>
    </w:p>
    <w:p w14:paraId="34B06939" w14:textId="77777777" w:rsidR="00E05A34" w:rsidRPr="00F62C2A" w:rsidRDefault="00C467C6" w:rsidP="00E169B3">
      <w:pPr>
        <w:rPr>
          <w:rFonts w:ascii="Century Gothic" w:hAnsi="Century Gothic"/>
          <w:sz w:val="18"/>
          <w:szCs w:val="18"/>
        </w:rPr>
      </w:pPr>
      <w:r w:rsidRPr="00F62C2A">
        <w:rPr>
          <w:rFonts w:ascii="Century Gothic" w:eastAsia="Calibri" w:hAnsi="Century Gothic" w:cs="Calibri"/>
        </w:rPr>
        <w:t>[Business / entity name]</w:t>
      </w:r>
    </w:p>
    <w:p w14:paraId="6EC17C82" w14:textId="77777777" w:rsidR="00E05A34" w:rsidRPr="00F62C2A" w:rsidRDefault="00C467C6" w:rsidP="00E169B3">
      <w:pPr>
        <w:rPr>
          <w:rFonts w:ascii="Century Gothic" w:hAnsi="Century Gothic"/>
          <w:sz w:val="18"/>
          <w:szCs w:val="18"/>
        </w:rPr>
      </w:pPr>
      <w:r w:rsidRPr="00F62C2A">
        <w:rPr>
          <w:rFonts w:ascii="Century Gothic" w:eastAsia="Calibri" w:hAnsi="Century Gothic" w:cs="Calibri"/>
        </w:rPr>
        <w:t>[Contact details]</w:t>
      </w:r>
    </w:p>
    <w:sectPr w:rsidR="00E05A34" w:rsidRPr="00F62C2A">
      <w:pgSz w:w="11906" w:h="16838"/>
      <w:pgMar w:top="1008" w:right="1296" w:bottom="1008" w:left="1296"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05C9D"/>
    <w:multiLevelType w:val="hybridMultilevel"/>
    <w:tmpl w:val="86A27FF6"/>
    <w:lvl w:ilvl="0" w:tplc="87F68600">
      <w:start w:val="1"/>
      <w:numFmt w:val="bullet"/>
      <w:lvlText w:val="●"/>
      <w:lvlJc w:val="left"/>
      <w:pPr>
        <w:ind w:left="720" w:hanging="360"/>
      </w:pPr>
    </w:lvl>
    <w:lvl w:ilvl="1" w:tplc="1804A88A">
      <w:start w:val="1"/>
      <w:numFmt w:val="bullet"/>
      <w:lvlText w:val="○"/>
      <w:lvlJc w:val="left"/>
      <w:pPr>
        <w:ind w:left="1440" w:hanging="360"/>
      </w:pPr>
    </w:lvl>
    <w:lvl w:ilvl="2" w:tplc="696CEBB6">
      <w:start w:val="1"/>
      <w:numFmt w:val="bullet"/>
      <w:lvlText w:val="■"/>
      <w:lvlJc w:val="left"/>
      <w:pPr>
        <w:ind w:left="2160" w:hanging="360"/>
      </w:pPr>
    </w:lvl>
    <w:lvl w:ilvl="3" w:tplc="67188944">
      <w:start w:val="1"/>
      <w:numFmt w:val="bullet"/>
      <w:lvlText w:val="●"/>
      <w:lvlJc w:val="left"/>
      <w:pPr>
        <w:ind w:left="2880" w:hanging="360"/>
      </w:pPr>
    </w:lvl>
    <w:lvl w:ilvl="4" w:tplc="80A24E22">
      <w:start w:val="1"/>
      <w:numFmt w:val="bullet"/>
      <w:lvlText w:val="○"/>
      <w:lvlJc w:val="left"/>
      <w:pPr>
        <w:ind w:left="3600" w:hanging="360"/>
      </w:pPr>
    </w:lvl>
    <w:lvl w:ilvl="5" w:tplc="CEFC4986">
      <w:start w:val="1"/>
      <w:numFmt w:val="bullet"/>
      <w:lvlText w:val="■"/>
      <w:lvlJc w:val="left"/>
      <w:pPr>
        <w:ind w:left="4320" w:hanging="360"/>
      </w:pPr>
    </w:lvl>
    <w:lvl w:ilvl="6" w:tplc="16F2C394">
      <w:start w:val="1"/>
      <w:numFmt w:val="bullet"/>
      <w:lvlText w:val="●"/>
      <w:lvlJc w:val="left"/>
      <w:pPr>
        <w:ind w:left="5040" w:hanging="360"/>
      </w:pPr>
    </w:lvl>
    <w:lvl w:ilvl="7" w:tplc="837CCDBE">
      <w:start w:val="1"/>
      <w:numFmt w:val="bullet"/>
      <w:lvlText w:val="●"/>
      <w:lvlJc w:val="left"/>
      <w:pPr>
        <w:ind w:left="5760" w:hanging="360"/>
      </w:pPr>
    </w:lvl>
    <w:lvl w:ilvl="8" w:tplc="70500FC4">
      <w:start w:val="1"/>
      <w:numFmt w:val="bullet"/>
      <w:lvlText w:val="●"/>
      <w:lvlJc w:val="left"/>
      <w:pPr>
        <w:ind w:left="6480" w:hanging="360"/>
      </w:pPr>
    </w:lvl>
  </w:abstractNum>
  <w:num w:numId="1" w16cid:durableId="11894848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34"/>
    <w:rsid w:val="00132D7F"/>
    <w:rsid w:val="00135933"/>
    <w:rsid w:val="001904F2"/>
    <w:rsid w:val="001A423D"/>
    <w:rsid w:val="001F18B1"/>
    <w:rsid w:val="00282924"/>
    <w:rsid w:val="003747B9"/>
    <w:rsid w:val="003A7AD1"/>
    <w:rsid w:val="003E14D0"/>
    <w:rsid w:val="0040118A"/>
    <w:rsid w:val="00425A3E"/>
    <w:rsid w:val="004A1FDB"/>
    <w:rsid w:val="00571409"/>
    <w:rsid w:val="00575644"/>
    <w:rsid w:val="00614B83"/>
    <w:rsid w:val="006938A2"/>
    <w:rsid w:val="006A5BAB"/>
    <w:rsid w:val="006B2DF7"/>
    <w:rsid w:val="00725AB8"/>
    <w:rsid w:val="00773E69"/>
    <w:rsid w:val="007A3C9B"/>
    <w:rsid w:val="007C7FB6"/>
    <w:rsid w:val="0080350D"/>
    <w:rsid w:val="0081280A"/>
    <w:rsid w:val="00894C2C"/>
    <w:rsid w:val="008C6663"/>
    <w:rsid w:val="00960542"/>
    <w:rsid w:val="0096106A"/>
    <w:rsid w:val="009D4203"/>
    <w:rsid w:val="00A07CD9"/>
    <w:rsid w:val="00A34B77"/>
    <w:rsid w:val="00A34C3A"/>
    <w:rsid w:val="00A409E4"/>
    <w:rsid w:val="00AD5321"/>
    <w:rsid w:val="00B31BA7"/>
    <w:rsid w:val="00C467C6"/>
    <w:rsid w:val="00C645FF"/>
    <w:rsid w:val="00D435D6"/>
    <w:rsid w:val="00E05A34"/>
    <w:rsid w:val="00E169B3"/>
    <w:rsid w:val="00E6231F"/>
    <w:rsid w:val="00F62C2A"/>
    <w:rsid w:val="00FA78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000DD"/>
  <w15:docId w15:val="{786C5747-9F8A-4158-B7DF-4E4EBFF66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1F1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F18B1"/>
    <w:rPr>
      <w:color w:val="605E5C"/>
      <w:shd w:val="clear" w:color="auto" w:fill="E1DFDD"/>
    </w:rPr>
  </w:style>
  <w:style w:type="character" w:styleId="CommentReference">
    <w:name w:val="annotation reference"/>
    <w:basedOn w:val="DefaultParagraphFont"/>
    <w:uiPriority w:val="99"/>
    <w:semiHidden/>
    <w:unhideWhenUsed/>
    <w:rsid w:val="00614B83"/>
    <w:rPr>
      <w:sz w:val="16"/>
      <w:szCs w:val="16"/>
    </w:rPr>
  </w:style>
  <w:style w:type="paragraph" w:styleId="CommentText">
    <w:name w:val="annotation text"/>
    <w:basedOn w:val="Normal"/>
    <w:link w:val="CommentTextChar"/>
    <w:uiPriority w:val="99"/>
    <w:unhideWhenUsed/>
    <w:rsid w:val="00614B83"/>
  </w:style>
  <w:style w:type="character" w:customStyle="1" w:styleId="CommentTextChar">
    <w:name w:val="Comment Text Char"/>
    <w:basedOn w:val="DefaultParagraphFont"/>
    <w:link w:val="CommentText"/>
    <w:uiPriority w:val="99"/>
    <w:rsid w:val="00614B83"/>
  </w:style>
  <w:style w:type="paragraph" w:styleId="CommentSubject">
    <w:name w:val="annotation subject"/>
    <w:basedOn w:val="CommentText"/>
    <w:next w:val="CommentText"/>
    <w:link w:val="CommentSubjectChar"/>
    <w:uiPriority w:val="99"/>
    <w:semiHidden/>
    <w:unhideWhenUsed/>
    <w:rsid w:val="00614B83"/>
    <w:rPr>
      <w:b/>
      <w:bCs/>
    </w:rPr>
  </w:style>
  <w:style w:type="character" w:customStyle="1" w:styleId="CommentSubjectChar">
    <w:name w:val="Comment Subject Char"/>
    <w:basedOn w:val="CommentTextChar"/>
    <w:link w:val="CommentSubject"/>
    <w:uiPriority w:val="99"/>
    <w:semiHidden/>
    <w:rsid w:val="00614B83"/>
    <w:rPr>
      <w:b/>
      <w:bCs/>
    </w:rPr>
  </w:style>
  <w:style w:type="character" w:styleId="Mention">
    <w:name w:val="Mention"/>
    <w:basedOn w:val="DefaultParagraphFont"/>
    <w:uiPriority w:val="99"/>
    <w:unhideWhenUsed/>
    <w:rsid w:val="00614B83"/>
    <w:rPr>
      <w:color w:val="2B579A"/>
      <w:shd w:val="clear" w:color="auto" w:fill="E1DFDD"/>
    </w:rPr>
  </w:style>
  <w:style w:type="paragraph" w:styleId="Revision">
    <w:name w:val="Revision"/>
    <w:hidden/>
    <w:uiPriority w:val="99"/>
    <w:semiHidden/>
    <w:rsid w:val="00135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rrigators.org.au/policy/murray-darling-basin-plan/2026-basin-plan-review/discussion-paper-submiss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nsult.dcceew.gov.au/water-act-review" TargetMode="External"/><Relationship Id="rId5" Type="http://schemas.openxmlformats.org/officeDocument/2006/relationships/numbering" Target="numbering.xml"/><Relationship Id="rId10" Type="http://schemas.openxmlformats.org/officeDocument/2006/relationships/hyperlink" Target="https://consult.dcceew.gov.au/water-act-review"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5a78c0f-a504-4649-88c9-b794f6403e85" xsi:nil="true"/>
    <lcf76f155ced4ddcb4097134ff3c332f xmlns="e809dcb9-122b-4a07-9542-d31a68380e9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5A1E11612CF340B16C95BCD3006626" ma:contentTypeVersion="18" ma:contentTypeDescription="Create a new document." ma:contentTypeScope="" ma:versionID="83da811c9e8e7e25b95c1da7c40ef9fc">
  <xsd:schema xmlns:xsd="http://www.w3.org/2001/XMLSchema" xmlns:xs="http://www.w3.org/2001/XMLSchema" xmlns:p="http://schemas.microsoft.com/office/2006/metadata/properties" xmlns:ns2="05a78c0f-a504-4649-88c9-b794f6403e85" xmlns:ns3="e809dcb9-122b-4a07-9542-d31a68380e93" targetNamespace="http://schemas.microsoft.com/office/2006/metadata/properties" ma:root="true" ma:fieldsID="88e9ae26ff635026e13bb1c43b027d4d" ns2:_="" ns3:_="">
    <xsd:import namespace="05a78c0f-a504-4649-88c9-b794f6403e85"/>
    <xsd:import namespace="e809dcb9-122b-4a07-9542-d31a68380e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78c0f-a504-4649-88c9-b794f6403e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0d9da494-2820-463f-b5b3-52c4182aea95}" ma:internalName="TaxCatchAll" ma:showField="CatchAllData" ma:web="05a78c0f-a504-4649-88c9-b794f6403e8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09dcb9-122b-4a07-9542-d31a68380e9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8bf22c-45f6-4dbd-b812-cdd956b022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9DC6E-0079-417A-A587-BD29C5F67E2F}">
  <ds:schemaRefs>
    <ds:schemaRef ds:uri="http://schemas.microsoft.com/office/2006/metadata/properties"/>
    <ds:schemaRef ds:uri="http://schemas.microsoft.com/office/infopath/2007/PartnerControls"/>
    <ds:schemaRef ds:uri="05a78c0f-a504-4649-88c9-b794f6403e85"/>
    <ds:schemaRef ds:uri="e809dcb9-122b-4a07-9542-d31a68380e93"/>
  </ds:schemaRefs>
</ds:datastoreItem>
</file>

<file path=customXml/itemProps2.xml><?xml version="1.0" encoding="utf-8"?>
<ds:datastoreItem xmlns:ds="http://schemas.openxmlformats.org/officeDocument/2006/customXml" ds:itemID="{58349648-AC67-4FC8-96CB-B4EE43B741CC}">
  <ds:schemaRefs>
    <ds:schemaRef ds:uri="http://schemas.microsoft.com/sharepoint/v3/contenttype/forms"/>
  </ds:schemaRefs>
</ds:datastoreItem>
</file>

<file path=customXml/itemProps3.xml><?xml version="1.0" encoding="utf-8"?>
<ds:datastoreItem xmlns:ds="http://schemas.openxmlformats.org/officeDocument/2006/customXml" ds:itemID="{1669B13E-F4D6-44B4-A057-2C8C90564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78c0f-a504-4649-88c9-b794f6403e85"/>
    <ds:schemaRef ds:uri="e809dcb9-122b-4a07-9542-d31a68380e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61F674-C763-488F-8C3D-16B0D5A19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1101</Words>
  <Characters>6279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 Lowien</cp:lastModifiedBy>
  <cp:revision>42</cp:revision>
  <dcterms:created xsi:type="dcterms:W3CDTF">2026-08-28T01:39:00Z</dcterms:created>
  <dcterms:modified xsi:type="dcterms:W3CDTF">2026-08-28T04:03:00Z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0x010100585A1E11612CF340B16C95BCD3006626</vt:lpwstr>
  </property>
  <property fmtid="{D5CDD505-2E9C-101B-9397-08002B2CF9AE}" pid="3" name="MediaServiceImageTags">
    <vt:lpwstr/>
  </property>
</Properties>
</file>